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ˎ̥" w:eastAsia="方正小标宋简体" w:cs="宋体"/>
          <w:kern w:val="0"/>
          <w:sz w:val="44"/>
          <w:szCs w:val="44"/>
        </w:rPr>
      </w:pPr>
      <w:r>
        <w:rPr>
          <w:rFonts w:hint="eastAsia" w:ascii="方正小标宋简体" w:hAnsi="ˎ̥" w:eastAsia="方正小标宋简体" w:cs="宋体"/>
          <w:kern w:val="0"/>
          <w:sz w:val="44"/>
          <w:szCs w:val="44"/>
        </w:rPr>
        <w:t>海南省供销合作联社部门</w:t>
      </w:r>
    </w:p>
    <w:p>
      <w:pPr>
        <w:jc w:val="center"/>
        <w:rPr>
          <w:rFonts w:ascii="黑体" w:hAnsi="黑体" w:eastAsia="黑体" w:cs="Times New Roman"/>
          <w:sz w:val="44"/>
          <w:szCs w:val="44"/>
        </w:rPr>
      </w:pPr>
      <w:r>
        <w:rPr>
          <w:rFonts w:hint="eastAsia" w:ascii="方正小标宋简体" w:hAnsi="ˎ̥" w:eastAsia="方正小标宋简体" w:cs="宋体"/>
          <w:kern w:val="0"/>
          <w:sz w:val="44"/>
          <w:szCs w:val="44"/>
        </w:rPr>
        <w:t>2018年度部门决算</w:t>
      </w:r>
    </w:p>
    <w:p>
      <w:pPr>
        <w:jc w:val="center"/>
        <w:rPr>
          <w:rFonts w:ascii="黑体" w:hAnsi="黑体" w:eastAsia="黑体" w:cs="Times New Roman"/>
          <w:sz w:val="44"/>
          <w:szCs w:val="44"/>
        </w:rPr>
      </w:pPr>
    </w:p>
    <w:p>
      <w:pPr>
        <w:jc w:val="center"/>
        <w:rPr>
          <w:rFonts w:ascii="黑体" w:hAnsi="黑体" w:eastAsia="黑体" w:cs="Times New Roman"/>
          <w:sz w:val="52"/>
          <w:szCs w:val="52"/>
        </w:rPr>
      </w:pPr>
      <w:r>
        <w:rPr>
          <w:rFonts w:hint="eastAsia" w:ascii="黑体" w:hAnsi="黑体" w:eastAsia="黑体" w:cs="Times New Roman"/>
          <w:sz w:val="52"/>
          <w:szCs w:val="52"/>
        </w:rPr>
        <w:t>目   录</w:t>
      </w:r>
    </w:p>
    <w:p>
      <w:pPr>
        <w:pStyle w:val="6"/>
        <w:ind w:firstLine="0" w:firstLineChars="0"/>
        <w:jc w:val="left"/>
        <w:rPr>
          <w:rFonts w:ascii="黑体" w:hAnsi="黑体" w:eastAsia="黑体"/>
          <w:sz w:val="32"/>
          <w:szCs w:val="32"/>
        </w:rPr>
      </w:pPr>
      <w:r>
        <w:rPr>
          <w:rFonts w:hint="eastAsia" w:ascii="黑体" w:hAnsi="黑体" w:eastAsia="黑体"/>
          <w:sz w:val="32"/>
          <w:szCs w:val="32"/>
        </w:rPr>
        <w:t>第一部分  海南省供销合作联社部门概况</w:t>
      </w:r>
      <w:r>
        <w:rPr>
          <w:rFonts w:ascii="黑体" w:hAnsi="黑体" w:eastAsia="黑体"/>
          <w:sz w:val="32"/>
          <w:szCs w:val="32"/>
        </w:rPr>
        <w:t>…………………</w:t>
      </w:r>
      <w:r>
        <w:rPr>
          <w:rFonts w:hint="eastAsia" w:ascii="黑体" w:hAnsi="黑体" w:eastAsia="黑体"/>
          <w:sz w:val="32"/>
          <w:szCs w:val="32"/>
        </w:rPr>
        <w:t>3</w:t>
      </w:r>
    </w:p>
    <w:p>
      <w:pPr>
        <w:pStyle w:val="6"/>
        <w:ind w:firstLine="0" w:firstLineChars="0"/>
        <w:jc w:val="left"/>
        <w:rPr>
          <w:rFonts w:ascii="仿宋_GB2312" w:hAnsi="黑体" w:eastAsia="仿宋_GB2312"/>
          <w:sz w:val="32"/>
          <w:szCs w:val="32"/>
        </w:rPr>
      </w:pPr>
      <w:r>
        <w:rPr>
          <w:rFonts w:hint="eastAsia" w:ascii="仿宋_GB2312" w:hAnsi="黑体" w:eastAsia="仿宋_GB2312"/>
          <w:sz w:val="32"/>
          <w:szCs w:val="32"/>
        </w:rPr>
        <w:t>一、部门职责</w:t>
      </w:r>
      <w:r>
        <w:rPr>
          <w:rFonts w:ascii="仿宋_GB2312" w:hAnsi="黑体" w:eastAsia="仿宋_GB2312"/>
          <w:sz w:val="32"/>
          <w:szCs w:val="32"/>
        </w:rPr>
        <w:t>…………………………………………………</w:t>
      </w:r>
      <w:r>
        <w:rPr>
          <w:rFonts w:hint="eastAsia" w:ascii="仿宋_GB2312" w:hAnsi="黑体" w:eastAsia="仿宋_GB2312"/>
          <w:sz w:val="32"/>
          <w:szCs w:val="32"/>
        </w:rPr>
        <w:t>3</w:t>
      </w:r>
    </w:p>
    <w:p>
      <w:pPr>
        <w:pStyle w:val="6"/>
        <w:ind w:firstLine="0" w:firstLineChars="0"/>
        <w:jc w:val="left"/>
        <w:rPr>
          <w:rFonts w:ascii="黑体" w:hAnsi="黑体" w:eastAsia="黑体"/>
          <w:sz w:val="32"/>
          <w:szCs w:val="32"/>
        </w:rPr>
      </w:pPr>
      <w:r>
        <w:rPr>
          <w:rFonts w:hint="eastAsia" w:ascii="仿宋_GB2312" w:hAnsi="黑体" w:eastAsia="仿宋_GB2312"/>
          <w:sz w:val="32"/>
          <w:szCs w:val="32"/>
        </w:rPr>
        <w:t>二、机构设置</w:t>
      </w:r>
      <w:r>
        <w:rPr>
          <w:rFonts w:ascii="仿宋_GB2312" w:hAnsi="黑体" w:eastAsia="仿宋_GB2312"/>
          <w:sz w:val="32"/>
          <w:szCs w:val="32"/>
        </w:rPr>
        <w:t>…………………………………………………</w:t>
      </w:r>
      <w:r>
        <w:rPr>
          <w:rFonts w:hint="eastAsia" w:ascii="仿宋_GB2312" w:hAnsi="黑体" w:eastAsia="仿宋_GB2312"/>
          <w:sz w:val="32"/>
          <w:szCs w:val="32"/>
        </w:rPr>
        <w:t>4</w:t>
      </w:r>
    </w:p>
    <w:p>
      <w:pPr>
        <w:pStyle w:val="6"/>
        <w:ind w:firstLine="0" w:firstLineChars="0"/>
        <w:jc w:val="lef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bCs/>
          <w:sz w:val="32"/>
          <w:szCs w:val="32"/>
        </w:rPr>
        <w:t xml:space="preserve"> </w:t>
      </w:r>
      <w:r>
        <w:rPr>
          <w:rFonts w:hint="eastAsia" w:ascii="黑体" w:hAnsi="黑体" w:eastAsia="黑体"/>
          <w:sz w:val="32"/>
          <w:szCs w:val="32"/>
        </w:rPr>
        <w:t>海南省供销合作联社部门</w:t>
      </w:r>
      <w:r>
        <w:rPr>
          <w:rFonts w:hint="eastAsia" w:ascii="黑体" w:hAnsi="黑体" w:eastAsia="黑体" w:cs="仿宋_GB2312"/>
          <w:sz w:val="32"/>
          <w:szCs w:val="32"/>
        </w:rPr>
        <w:t>2018</w:t>
      </w:r>
      <w:r>
        <w:rPr>
          <w:rFonts w:hint="eastAsia" w:ascii="黑体" w:hAnsi="黑体" w:eastAsia="黑体"/>
          <w:sz w:val="32"/>
          <w:szCs w:val="32"/>
        </w:rPr>
        <w:t>年度部门决算公开表</w:t>
      </w:r>
      <w:r>
        <w:rPr>
          <w:rFonts w:ascii="黑体" w:hAnsi="黑体" w:eastAsia="黑体"/>
          <w:sz w:val="32"/>
          <w:szCs w:val="32"/>
        </w:rPr>
        <w:t>……………………………………………………………</w:t>
      </w:r>
      <w:r>
        <w:rPr>
          <w:rFonts w:hint="eastAsia" w:ascii="黑体" w:hAnsi="黑体" w:eastAsia="黑体"/>
          <w:sz w:val="32"/>
          <w:szCs w:val="32"/>
        </w:rPr>
        <w:t>4</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五、一般公共预算财政拨款收入支出决算公开表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六、一般公共预算财政拨款基本支出决算公开表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七、政府性基金预算财政拨款收入支出决算公开表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八、一般公共预算财政拨款“三公”经费支出决算支出公开表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九、政府性基金预算财政拨款“三公”经费支出决算支出公开表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十、资产负债公开简表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jc w:val="left"/>
        <w:rPr>
          <w:rFonts w:ascii="黑体" w:hAnsi="黑体" w:eastAsia="黑体"/>
          <w:sz w:val="32"/>
          <w:szCs w:val="32"/>
        </w:rPr>
      </w:pPr>
      <w:r>
        <w:rPr>
          <w:rFonts w:hint="eastAsia" w:ascii="黑体" w:hAnsi="黑体" w:eastAsia="黑体"/>
          <w:sz w:val="32"/>
          <w:szCs w:val="32"/>
        </w:rPr>
        <w:t>第三部分  海南省供销合作联社部门</w:t>
      </w:r>
      <w:r>
        <w:rPr>
          <w:rFonts w:hint="eastAsia" w:ascii="黑体" w:hAnsi="黑体" w:eastAsia="黑体" w:cs="仿宋_GB2312"/>
          <w:sz w:val="32"/>
          <w:szCs w:val="32"/>
        </w:rPr>
        <w:t>2018</w:t>
      </w:r>
      <w:r>
        <w:rPr>
          <w:rFonts w:hint="eastAsia" w:ascii="黑体" w:hAnsi="黑体" w:eastAsia="黑体"/>
          <w:sz w:val="32"/>
          <w:szCs w:val="32"/>
        </w:rPr>
        <w:t>年度部门决算情况说明</w:t>
      </w:r>
      <w:r>
        <w:rPr>
          <w:rFonts w:ascii="黑体" w:hAnsi="黑体" w:eastAsia="黑体"/>
          <w:sz w:val="32"/>
          <w:szCs w:val="32"/>
        </w:rPr>
        <w:t>…………………………………………………………</w:t>
      </w:r>
      <w:r>
        <w:rPr>
          <w:rFonts w:hint="eastAsia" w:ascii="黑体" w:hAnsi="黑体" w:eastAsia="黑体"/>
          <w:sz w:val="32"/>
          <w:szCs w:val="32"/>
        </w:rPr>
        <w:t>5</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六、一般公共预算财政拨款基本支出决算情况说明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9</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七、政府性基金预算财政拨款收入支出决算情况说明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10</w:t>
      </w:r>
    </w:p>
    <w:p>
      <w:pPr>
        <w:pStyle w:val="6"/>
        <w:ind w:right="-57" w:rightChars="-27"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11</w:t>
      </w:r>
    </w:p>
    <w:p>
      <w:pPr>
        <w:pStyle w:val="6"/>
        <w:ind w:right="-57" w:rightChars="-27"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九、政府性基金预算财政拨款“三公”经费支出决算情况说明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12</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十、资产负债决算情况说明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12</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十一、预算绩效情况说明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13</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十二、其他重要事项情况说明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15</w:t>
      </w:r>
    </w:p>
    <w:p>
      <w:pPr>
        <w:pStyle w:val="6"/>
        <w:ind w:right="-197" w:rightChars="-94" w:firstLine="0" w:firstLineChars="0"/>
        <w:jc w:val="left"/>
        <w:rPr>
          <w:rFonts w:ascii="仿宋_GB2312" w:hAnsi="仿宋_GB2312" w:eastAsia="仿宋_GB2312" w:cs="仿宋_GB2312"/>
          <w:sz w:val="32"/>
          <w:szCs w:val="32"/>
        </w:rPr>
      </w:pPr>
      <w:r>
        <w:rPr>
          <w:rFonts w:hint="eastAsia" w:ascii="黑体" w:hAnsi="黑体" w:eastAsia="黑体"/>
          <w:sz w:val="32"/>
          <w:szCs w:val="32"/>
        </w:rPr>
        <w:t>第四部分   名词解释</w:t>
      </w:r>
      <w:r>
        <w:rPr>
          <w:rFonts w:ascii="黑体" w:hAnsi="黑体" w:eastAsia="黑体"/>
          <w:sz w:val="32"/>
          <w:szCs w:val="32"/>
        </w:rPr>
        <w:t>………………………………………</w:t>
      </w:r>
      <w:r>
        <w:rPr>
          <w:rFonts w:hint="eastAsia" w:ascii="黑体" w:hAnsi="黑体" w:eastAsia="黑体"/>
          <w:sz w:val="32"/>
          <w:szCs w:val="32"/>
        </w:rPr>
        <w:t>15</w:t>
      </w:r>
    </w:p>
    <w:p>
      <w:pPr>
        <w:rPr>
          <w:rFonts w:ascii="黑体" w:eastAsia="黑体"/>
          <w:sz w:val="32"/>
          <w:szCs w:val="32"/>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pStyle w:val="6"/>
        <w:ind w:firstLine="0" w:firstLineChars="0"/>
        <w:jc w:val="center"/>
        <w:rPr>
          <w:rFonts w:ascii="黑体" w:hAnsi="黑体" w:eastAsia="黑体"/>
          <w:sz w:val="32"/>
          <w:szCs w:val="32"/>
        </w:rPr>
      </w:pPr>
      <w:r>
        <w:rPr>
          <w:rFonts w:hint="eastAsia" w:ascii="黑体" w:hAnsi="黑体" w:eastAsia="黑体"/>
          <w:sz w:val="32"/>
          <w:szCs w:val="32"/>
        </w:rPr>
        <w:t>第一部分  海南省供销合作联社部门概况</w:t>
      </w:r>
    </w:p>
    <w:p>
      <w:pPr>
        <w:jc w:val="center"/>
        <w:rPr>
          <w:rFonts w:ascii="黑体" w:eastAsia="黑体"/>
          <w:sz w:val="36"/>
          <w:szCs w:val="36"/>
        </w:rPr>
      </w:pPr>
    </w:p>
    <w:p>
      <w:pPr>
        <w:ind w:firstLine="640" w:firstLineChars="200"/>
        <w:rPr>
          <w:rFonts w:ascii="黑体" w:eastAsia="黑体"/>
          <w:sz w:val="32"/>
          <w:szCs w:val="32"/>
        </w:rPr>
      </w:pPr>
      <w:r>
        <w:rPr>
          <w:rFonts w:hint="eastAsia" w:ascii="黑体" w:eastAsia="黑体"/>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rPr>
        <w:t>海南省供销合作社隶属海南省人民政府，为参照公务员管理的事业单位，承担着为“三农”服务和全省供销合作社系统经营监管职责，是我省为“三农”提供服务的最大合作经济组织。其主要职责：</w:t>
      </w:r>
    </w:p>
    <w:p>
      <w:pPr>
        <w:ind w:firstLine="640" w:firstLineChars="200"/>
        <w:rPr>
          <w:rFonts w:ascii="仿宋_GB2312" w:eastAsia="仿宋_GB2312"/>
          <w:sz w:val="32"/>
          <w:szCs w:val="32"/>
        </w:rPr>
      </w:pPr>
      <w:r>
        <w:rPr>
          <w:rFonts w:hint="eastAsia" w:ascii="仿宋_GB2312" w:eastAsia="仿宋_GB2312"/>
          <w:sz w:val="32"/>
          <w:szCs w:val="32"/>
        </w:rPr>
        <w:t>（一）贯彻执行中共中央</w:t>
      </w:r>
      <w:r>
        <w:rPr>
          <w:rFonts w:hint="eastAsia" w:ascii="仿宋_GB2312" w:eastAsia="仿宋_GB2312"/>
          <w:sz w:val="32"/>
          <w:szCs w:val="32"/>
          <w:lang w:eastAsia="zh-CN"/>
        </w:rPr>
        <w:t>、</w:t>
      </w:r>
      <w:bookmarkStart w:id="6" w:name="_GoBack"/>
      <w:bookmarkEnd w:id="6"/>
      <w:r>
        <w:rPr>
          <w:rFonts w:hint="eastAsia" w:ascii="仿宋_GB2312" w:eastAsia="仿宋_GB2312"/>
          <w:sz w:val="32"/>
          <w:szCs w:val="32"/>
        </w:rPr>
        <w:t>国务院要求深化供销合作社综合改革的决定。</w:t>
      </w:r>
    </w:p>
    <w:p>
      <w:pPr>
        <w:ind w:firstLine="640" w:firstLineChars="200"/>
        <w:rPr>
          <w:rFonts w:ascii="仿宋_GB2312" w:eastAsia="仿宋_GB2312"/>
          <w:sz w:val="32"/>
          <w:szCs w:val="32"/>
        </w:rPr>
      </w:pPr>
      <w:r>
        <w:rPr>
          <w:rFonts w:hint="eastAsia" w:ascii="仿宋_GB2312" w:eastAsia="仿宋_GB2312"/>
          <w:sz w:val="32"/>
          <w:szCs w:val="32"/>
        </w:rPr>
        <w:t>（二）全供销系统大力领办和协办农村合作经济组织，科学组织农民生产，引导农民进入市场。</w:t>
      </w:r>
    </w:p>
    <w:p>
      <w:pPr>
        <w:ind w:firstLine="640" w:firstLineChars="200"/>
        <w:rPr>
          <w:rFonts w:ascii="仿宋_GB2312" w:eastAsia="仿宋_GB2312"/>
          <w:sz w:val="32"/>
          <w:szCs w:val="32"/>
        </w:rPr>
      </w:pPr>
      <w:r>
        <w:rPr>
          <w:rFonts w:hint="eastAsia" w:ascii="仿宋_GB2312" w:eastAsia="仿宋_GB2312"/>
          <w:sz w:val="32"/>
          <w:szCs w:val="32"/>
        </w:rPr>
        <w:t>（三）负责推进农副产品市场购销、农业生产资料经营服务、日用消费品经营和再生资源回收利用等覆盖全省城乡的四大经营网络体系建设，构建“网络经营、集中配送、覆盖全身、服务三农”的流通格局。</w:t>
      </w:r>
      <w:r>
        <w:rPr>
          <w:rFonts w:hint="eastAsia" w:ascii="仿宋_GB2312" w:eastAsia="仿宋_GB2312"/>
          <w:sz w:val="32"/>
          <w:szCs w:val="32"/>
        </w:rPr>
        <w:br w:type="textWrapping"/>
      </w:r>
      <w:r>
        <w:rPr>
          <w:rFonts w:hint="eastAsia" w:ascii="仿宋_GB2312" w:eastAsia="仿宋_GB2312"/>
          <w:sz w:val="32"/>
          <w:szCs w:val="32"/>
        </w:rPr>
        <w:t>　 （四）负责化肥商业储备工作，加强化肥储备管理，缓解我省化肥供求的矛盾，保障农业生产用肥供应。</w:t>
      </w:r>
    </w:p>
    <w:p>
      <w:pPr>
        <w:ind w:firstLine="480" w:firstLineChars="150"/>
        <w:rPr>
          <w:rFonts w:ascii="仿宋_GB2312" w:eastAsia="仿宋_GB2312"/>
          <w:sz w:val="32"/>
          <w:szCs w:val="32"/>
        </w:rPr>
      </w:pPr>
      <w:r>
        <w:rPr>
          <w:rFonts w:hint="eastAsia" w:ascii="仿宋_GB2312" w:eastAsia="仿宋_GB2312"/>
          <w:sz w:val="32"/>
          <w:szCs w:val="32"/>
        </w:rPr>
        <w:t>（五）组织建立测土配方施肥服务、农村沼气维修服务、农业机械专业服务、农民营销培训服务等四个为农“服务中心”。</w:t>
      </w:r>
    </w:p>
    <w:p>
      <w:pPr>
        <w:ind w:firstLine="640" w:firstLineChars="200"/>
        <w:rPr>
          <w:rFonts w:ascii="仿宋_GB2312" w:eastAsia="仿宋_GB2312"/>
          <w:sz w:val="32"/>
          <w:szCs w:val="32"/>
        </w:rPr>
      </w:pPr>
      <w:r>
        <w:rPr>
          <w:rFonts w:hint="eastAsia" w:ascii="仿宋_GB2312" w:eastAsia="仿宋_GB2312"/>
          <w:sz w:val="32"/>
          <w:szCs w:val="32"/>
        </w:rPr>
        <w:t>（六）组建海南省农产品运销有限公司，利用全国供销合作社系统的销售网络，建立海南农产品运销长效机制。</w:t>
      </w:r>
    </w:p>
    <w:p>
      <w:pPr>
        <w:ind w:firstLine="640" w:firstLineChars="200"/>
        <w:rPr>
          <w:rFonts w:ascii="仿宋_GB2312" w:eastAsia="仿宋_GB2312"/>
          <w:sz w:val="32"/>
          <w:szCs w:val="32"/>
        </w:rPr>
      </w:pPr>
      <w:r>
        <w:rPr>
          <w:rFonts w:hint="eastAsia" w:ascii="仿宋_GB2312" w:eastAsia="仿宋_GB2312"/>
          <w:sz w:val="32"/>
          <w:szCs w:val="32"/>
        </w:rPr>
        <w:t xml:space="preserve">海南省供销合作联社信息中心是海南省供销合作联社下属二级单位。其主要职责：承担省供销系统信息化建设和网络管理、运行、维护，供销信息收集、分析、处理、发布，供销系统社有企业、合作经济组织发展电子商务指导等工作。   </w:t>
      </w:r>
    </w:p>
    <w:p>
      <w:pPr>
        <w:ind w:firstLine="640" w:firstLineChars="200"/>
        <w:rPr>
          <w:rFonts w:ascii="仿宋_GB2312" w:eastAsia="仿宋_GB2312"/>
          <w:sz w:val="32"/>
          <w:szCs w:val="32"/>
        </w:rPr>
      </w:pPr>
      <w:r>
        <w:rPr>
          <w:rFonts w:hint="eastAsia" w:ascii="仿宋_GB2312" w:eastAsia="仿宋_GB2312"/>
          <w:sz w:val="32"/>
          <w:szCs w:val="32"/>
        </w:rPr>
        <w:t>二、机构设置</w:t>
      </w:r>
    </w:p>
    <w:p>
      <w:pPr>
        <w:pStyle w:val="6"/>
        <w:ind w:firstLine="640"/>
        <w:rPr>
          <w:rFonts w:ascii="仿宋_GB2312" w:eastAsia="仿宋_GB2312"/>
          <w:sz w:val="32"/>
          <w:szCs w:val="32"/>
        </w:rPr>
      </w:pPr>
      <w:r>
        <w:rPr>
          <w:rFonts w:hint="eastAsia" w:ascii="仿宋_GB2312" w:eastAsia="仿宋_GB2312"/>
          <w:sz w:val="32"/>
          <w:szCs w:val="32"/>
        </w:rPr>
        <w:t>纳入海南省供销社合作联社部门</w:t>
      </w:r>
      <w:r>
        <w:rPr>
          <w:rFonts w:ascii="仿宋_GB2312" w:eastAsia="仿宋_GB2312"/>
          <w:sz w:val="32"/>
          <w:szCs w:val="32"/>
        </w:rPr>
        <w:t>201</w:t>
      </w:r>
      <w:r>
        <w:rPr>
          <w:rFonts w:hint="eastAsia" w:ascii="仿宋_GB2312" w:eastAsia="仿宋_GB2312"/>
          <w:sz w:val="32"/>
          <w:szCs w:val="32"/>
        </w:rPr>
        <w:t>8年部门决算编制范围的二级预算单位包括：</w:t>
      </w:r>
    </w:p>
    <w:p>
      <w:pPr>
        <w:pStyle w:val="6"/>
        <w:ind w:firstLine="480" w:firstLineChars="150"/>
        <w:rPr>
          <w:rFonts w:ascii="仿宋_GB2312" w:eastAsia="仿宋_GB2312"/>
          <w:sz w:val="32"/>
          <w:szCs w:val="32"/>
        </w:rPr>
      </w:pPr>
      <w:r>
        <w:rPr>
          <w:rFonts w:hint="eastAsia" w:ascii="仿宋_GB2312" w:eastAsia="仿宋_GB2312"/>
          <w:sz w:val="32"/>
          <w:szCs w:val="32"/>
        </w:rPr>
        <w:t>（一）海南省供销合作联社部门本级，下设处室有：办公室、监事会办公室、财务审计处、合作指导处、经济发展处、资产管理处。</w:t>
      </w:r>
    </w:p>
    <w:p>
      <w:pPr>
        <w:pStyle w:val="6"/>
        <w:ind w:firstLine="640"/>
        <w:rPr>
          <w:rFonts w:ascii="仿宋_GB2312" w:eastAsia="仿宋_GB2312"/>
          <w:sz w:val="32"/>
          <w:szCs w:val="32"/>
        </w:rPr>
      </w:pPr>
      <w:r>
        <w:rPr>
          <w:rFonts w:hint="eastAsia" w:ascii="仿宋_GB2312" w:eastAsia="仿宋_GB2312"/>
          <w:sz w:val="32"/>
          <w:szCs w:val="32"/>
        </w:rPr>
        <w:t>（二）海南省供销合作联社信息中心（下属单位），</w:t>
      </w:r>
      <w:r>
        <w:rPr>
          <w:rFonts w:ascii="仿宋_GB2312" w:eastAsia="仿宋_GB2312"/>
          <w:sz w:val="32"/>
          <w:szCs w:val="32"/>
        </w:rPr>
        <w:t>下设办公室</w:t>
      </w:r>
      <w:r>
        <w:rPr>
          <w:rFonts w:hint="eastAsia" w:ascii="仿宋_GB2312" w:eastAsia="仿宋_GB2312"/>
          <w:sz w:val="32"/>
          <w:szCs w:val="32"/>
        </w:rPr>
        <w:t>1个</w:t>
      </w:r>
      <w:r>
        <w:rPr>
          <w:rFonts w:ascii="仿宋_GB2312" w:eastAsia="仿宋_GB2312"/>
          <w:sz w:val="32"/>
          <w:szCs w:val="32"/>
        </w:rPr>
        <w:t>。</w:t>
      </w:r>
    </w:p>
    <w:p>
      <w:pPr>
        <w:pStyle w:val="6"/>
        <w:ind w:firstLine="480" w:firstLineChars="150"/>
        <w:jc w:val="left"/>
        <w:rPr>
          <w:rFonts w:ascii="黑体" w:eastAsia="黑体"/>
          <w:sz w:val="32"/>
          <w:szCs w:val="32"/>
        </w:rPr>
      </w:pPr>
    </w:p>
    <w:p>
      <w:pPr>
        <w:pStyle w:val="6"/>
        <w:ind w:firstLine="480" w:firstLineChars="150"/>
        <w:jc w:val="left"/>
        <w:rPr>
          <w:rFonts w:ascii="黑体" w:hAnsi="黑体" w:eastAsia="黑体"/>
          <w:sz w:val="32"/>
          <w:szCs w:val="32"/>
        </w:rPr>
      </w:pPr>
      <w:r>
        <w:rPr>
          <w:rFonts w:hint="eastAsia" w:ascii="黑体" w:eastAsia="黑体"/>
          <w:sz w:val="32"/>
          <w:szCs w:val="32"/>
        </w:rPr>
        <w:t>第二部分、</w:t>
      </w:r>
      <w:r>
        <w:rPr>
          <w:rFonts w:hint="eastAsia" w:ascii="黑体" w:hAnsi="黑体" w:eastAsia="黑体"/>
          <w:sz w:val="32"/>
          <w:szCs w:val="32"/>
        </w:rPr>
        <w:t>海南省供销合作联社部门</w:t>
      </w:r>
      <w:r>
        <w:rPr>
          <w:rFonts w:hint="eastAsia" w:ascii="黑体" w:hAnsi="黑体" w:eastAsia="黑体" w:cs="仿宋_GB2312"/>
          <w:sz w:val="32"/>
          <w:szCs w:val="32"/>
        </w:rPr>
        <w:t>2018</w:t>
      </w:r>
      <w:r>
        <w:rPr>
          <w:rFonts w:hint="eastAsia" w:ascii="黑体" w:hAnsi="黑体" w:eastAsia="黑体"/>
          <w:sz w:val="32"/>
          <w:szCs w:val="32"/>
        </w:rPr>
        <w:t>年度部门决算公开表</w:t>
      </w:r>
    </w:p>
    <w:p>
      <w:pPr>
        <w:pStyle w:val="6"/>
        <w:ind w:firstLine="480" w:firstLineChars="150"/>
        <w:jc w:val="left"/>
        <w:rPr>
          <w:rFonts w:ascii="黑体" w:hAnsi="黑体" w:eastAsia="黑体"/>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一、收入支出决算公开表（见正文附件）。</w:t>
      </w:r>
    </w:p>
    <w:p>
      <w:pPr>
        <w:pStyle w:val="6"/>
        <w:ind w:firstLine="64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收入决算公开表</w:t>
      </w:r>
      <w:r>
        <w:rPr>
          <w:rFonts w:hint="eastAsia" w:ascii="仿宋_GB2312" w:eastAsia="仿宋_GB2312"/>
          <w:sz w:val="32"/>
          <w:szCs w:val="32"/>
        </w:rPr>
        <w:t>（见正文附件）。</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三、支出决算公开表</w:t>
      </w:r>
      <w:r>
        <w:rPr>
          <w:rFonts w:hint="eastAsia" w:ascii="仿宋_GB2312" w:eastAsia="仿宋_GB2312"/>
          <w:sz w:val="32"/>
          <w:szCs w:val="32"/>
        </w:rPr>
        <w:t>（见正文附件）。</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四、财政拨款收入支出决算公开表</w:t>
      </w:r>
      <w:r>
        <w:rPr>
          <w:rFonts w:hint="eastAsia" w:ascii="仿宋_GB2312" w:eastAsia="仿宋_GB2312"/>
          <w:sz w:val="32"/>
          <w:szCs w:val="32"/>
        </w:rPr>
        <w:t>（见正文附件）。</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五、一般公共预算财政拨款收入支出决算公开表</w:t>
      </w:r>
      <w:r>
        <w:rPr>
          <w:rFonts w:hint="eastAsia" w:ascii="仿宋_GB2312" w:eastAsia="仿宋_GB2312"/>
          <w:sz w:val="32"/>
          <w:szCs w:val="32"/>
        </w:rPr>
        <w:t>（见正文附件）。</w:t>
      </w:r>
    </w:p>
    <w:p>
      <w:pPr>
        <w:pStyle w:val="6"/>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六、一般公共预算财政拨款基本支出决算公开表</w:t>
      </w:r>
      <w:r>
        <w:rPr>
          <w:rFonts w:hint="eastAsia" w:ascii="仿宋_GB2312" w:eastAsia="仿宋_GB2312"/>
          <w:sz w:val="32"/>
          <w:szCs w:val="32"/>
        </w:rPr>
        <w:t>（见正文附件）。</w:t>
      </w:r>
    </w:p>
    <w:p>
      <w:pPr>
        <w:pStyle w:val="6"/>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七、政府性基金预算财政拨款收入支出决算公开表（</w:t>
      </w:r>
      <w:r>
        <w:rPr>
          <w:rFonts w:hint="eastAsia" w:ascii="仿宋_GB2312" w:eastAsia="仿宋_GB2312"/>
          <w:sz w:val="32"/>
          <w:szCs w:val="32"/>
        </w:rPr>
        <w:t>见正文附件）。</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八、一般公共预算财政拨款“三公”经费支出决算公开表</w:t>
      </w:r>
      <w:r>
        <w:rPr>
          <w:rFonts w:hint="eastAsia" w:ascii="仿宋_GB2312" w:eastAsia="仿宋_GB2312"/>
          <w:sz w:val="32"/>
          <w:szCs w:val="32"/>
        </w:rPr>
        <w:t>（见正文附件）。</w:t>
      </w:r>
    </w:p>
    <w:p>
      <w:pPr>
        <w:pStyle w:val="6"/>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九、政府性基金预算财政拨款“三公”经费支出决算支出公开表（见正文附件）。</w:t>
      </w:r>
    </w:p>
    <w:p>
      <w:pPr>
        <w:pStyle w:val="6"/>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十、资产负债决算公开简表（见正文附件）。</w:t>
      </w:r>
    </w:p>
    <w:p>
      <w:pPr>
        <w:pStyle w:val="6"/>
        <w:ind w:firstLine="640"/>
        <w:jc w:val="left"/>
        <w:rPr>
          <w:rFonts w:ascii="仿宋_GB2312" w:hAnsi="仿宋_GB2312" w:eastAsia="仿宋_GB2312" w:cs="仿宋_GB2312"/>
          <w:sz w:val="32"/>
          <w:szCs w:val="32"/>
        </w:rPr>
      </w:pPr>
    </w:p>
    <w:p>
      <w:pPr>
        <w:pStyle w:val="6"/>
        <w:ind w:firstLine="640"/>
        <w:jc w:val="left"/>
        <w:rPr>
          <w:rFonts w:ascii="黑体" w:hAnsi="黑体" w:eastAsia="黑体"/>
          <w:sz w:val="32"/>
          <w:szCs w:val="32"/>
        </w:rPr>
      </w:pPr>
      <w:r>
        <w:rPr>
          <w:rFonts w:hint="eastAsia" w:ascii="黑体" w:hAnsi="黑体" w:eastAsia="黑体"/>
          <w:sz w:val="32"/>
          <w:szCs w:val="32"/>
        </w:rPr>
        <w:t>第三部分  海南省供销合作联社部门</w:t>
      </w:r>
      <w:r>
        <w:rPr>
          <w:rFonts w:hint="eastAsia" w:ascii="黑体" w:hAnsi="黑体" w:eastAsia="黑体" w:cs="仿宋_GB2312"/>
          <w:sz w:val="32"/>
          <w:szCs w:val="32"/>
        </w:rPr>
        <w:t>2018</w:t>
      </w:r>
      <w:r>
        <w:rPr>
          <w:rFonts w:hint="eastAsia" w:ascii="黑体" w:hAnsi="黑体" w:eastAsia="黑体"/>
          <w:sz w:val="32"/>
          <w:szCs w:val="32"/>
        </w:rPr>
        <w:t xml:space="preserve">年度部门决算情况说明 </w:t>
      </w:r>
    </w:p>
    <w:p>
      <w:pPr>
        <w:pStyle w:val="6"/>
        <w:ind w:firstLine="640"/>
        <w:jc w:val="left"/>
        <w:rPr>
          <w:rFonts w:ascii="黑体" w:hAnsi="黑体" w:eastAsia="黑体"/>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一、收入支出决算总体情况说明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2018年度收入总计1,161.40万元，与2017年度相比，收入总计减少2，907.40万元，下降71.46%。主要原因：是用于商品服务业等收入减少。</w:t>
      </w:r>
    </w:p>
    <w:p>
      <w:pPr>
        <w:ind w:firstLine="640" w:firstLineChars="200"/>
        <w:rPr>
          <w:rFonts w:ascii="仿宋_GB2312" w:eastAsia="仿宋_GB2312"/>
          <w:sz w:val="32"/>
          <w:szCs w:val="32"/>
        </w:rPr>
      </w:pPr>
      <w:r>
        <w:rPr>
          <w:rFonts w:hint="eastAsia" w:ascii="仿宋_GB2312" w:eastAsia="仿宋_GB2312"/>
          <w:sz w:val="32"/>
          <w:szCs w:val="32"/>
        </w:rPr>
        <w:t>2018年度支出总计1，209.55万元，与2017年度相比，支出总计减少2，859.25万元，下降70.27%。主要原因：是用于商品服务业等支出减少。</w:t>
      </w:r>
    </w:p>
    <w:p>
      <w:pPr>
        <w:ind w:firstLine="640" w:firstLineChars="200"/>
        <w:rPr>
          <w:rFonts w:ascii="仿宋_GB2312" w:eastAsia="仿宋_GB2312"/>
          <w:sz w:val="32"/>
          <w:szCs w:val="32"/>
        </w:rPr>
      </w:pPr>
      <w:r>
        <w:rPr>
          <w:rFonts w:hint="eastAsia" w:ascii="仿宋_GB2312" w:eastAsia="仿宋_GB2312"/>
          <w:sz w:val="32"/>
          <w:szCs w:val="32"/>
        </w:rPr>
        <w:t>用事业基金弥补收支差额0.00万元。</w:t>
      </w:r>
    </w:p>
    <w:p>
      <w:pPr>
        <w:ind w:firstLine="640" w:firstLineChars="200"/>
        <w:rPr>
          <w:rFonts w:ascii="仿宋_GB2312" w:eastAsia="仿宋_GB2312"/>
          <w:sz w:val="32"/>
          <w:szCs w:val="32"/>
        </w:rPr>
      </w:pPr>
      <w:r>
        <w:rPr>
          <w:rFonts w:hint="eastAsia" w:ascii="仿宋_GB2312" w:eastAsia="仿宋_GB2312"/>
          <w:sz w:val="32"/>
          <w:szCs w:val="32"/>
        </w:rPr>
        <w:t>年初结转结余59.55万元，主要是综合事务，用于商品服务支出。</w:t>
      </w:r>
    </w:p>
    <w:p>
      <w:pPr>
        <w:ind w:firstLine="640" w:firstLineChars="200"/>
        <w:rPr>
          <w:rFonts w:ascii="仿宋_GB2312" w:eastAsia="仿宋_GB2312"/>
          <w:sz w:val="32"/>
          <w:szCs w:val="32"/>
        </w:rPr>
      </w:pPr>
      <w:r>
        <w:rPr>
          <w:rFonts w:hint="eastAsia" w:ascii="仿宋_GB2312" w:eastAsia="仿宋_GB2312"/>
          <w:sz w:val="32"/>
          <w:szCs w:val="32"/>
        </w:rPr>
        <w:t>结余分配0.21万元，主要是银行存款利息收入。</w:t>
      </w:r>
    </w:p>
    <w:p>
      <w:pPr>
        <w:ind w:firstLine="640" w:firstLineChars="200"/>
        <w:rPr>
          <w:rFonts w:ascii="仿宋_GB2312" w:eastAsia="仿宋_GB2312"/>
          <w:sz w:val="32"/>
          <w:szCs w:val="32"/>
        </w:rPr>
      </w:pPr>
      <w:r>
        <w:rPr>
          <w:rFonts w:hint="eastAsia" w:ascii="仿宋_GB2312" w:eastAsia="仿宋_GB2312"/>
          <w:sz w:val="32"/>
          <w:szCs w:val="32"/>
        </w:rPr>
        <w:t>年末结转结余11.19万元，主要是综合事务项目结余，年末财政已收回。</w:t>
      </w:r>
    </w:p>
    <w:p>
      <w:pPr>
        <w:ind w:firstLine="640" w:firstLineChars="200"/>
        <w:rPr>
          <w:rFonts w:ascii="仿宋_GB2312" w:eastAsia="仿宋_GB2312"/>
          <w:sz w:val="32"/>
          <w:szCs w:val="32"/>
        </w:rPr>
      </w:pPr>
      <w:r>
        <w:rPr>
          <w:rFonts w:hint="eastAsia" w:ascii="仿宋_GB2312" w:eastAsia="仿宋_GB2312"/>
          <w:sz w:val="32"/>
          <w:szCs w:val="32"/>
        </w:rPr>
        <w:t>（取自2018年度财决01表收入支出决算总表）</w:t>
      </w:r>
    </w:p>
    <w:p>
      <w:pPr>
        <w:ind w:firstLine="640" w:firstLineChars="200"/>
        <w:rPr>
          <w:rFonts w:ascii="仿宋_GB2312" w:eastAsia="仿宋_GB2312"/>
          <w:sz w:val="32"/>
          <w:szCs w:val="32"/>
        </w:rPr>
      </w:pPr>
      <w:r>
        <w:rPr>
          <w:rFonts w:hint="eastAsia" w:ascii="仿宋_GB2312" w:eastAsia="仿宋_GB2312"/>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本年收入合计1,161.40万元，其中：财政拨款收入1，161.19万元，占99.98%；其他收入0.21万元，占0.02%。</w:t>
      </w:r>
    </w:p>
    <w:p>
      <w:pPr>
        <w:ind w:firstLine="640" w:firstLineChars="200"/>
        <w:rPr>
          <w:rFonts w:ascii="仿宋_GB2312" w:eastAsia="仿宋_GB2312"/>
          <w:sz w:val="32"/>
          <w:szCs w:val="32"/>
        </w:rPr>
      </w:pPr>
      <w:r>
        <w:rPr>
          <w:rFonts w:hint="eastAsia" w:ascii="仿宋_GB2312" w:eastAsia="仿宋_GB2312"/>
          <w:sz w:val="32"/>
          <w:szCs w:val="32"/>
        </w:rPr>
        <w:t>（取自2018年度财决02表收入决算表）</w:t>
      </w:r>
    </w:p>
    <w:p>
      <w:pPr>
        <w:ind w:firstLine="640" w:firstLineChars="200"/>
        <w:rPr>
          <w:rFonts w:ascii="仿宋_GB2312" w:eastAsia="仿宋_GB2312"/>
          <w:sz w:val="32"/>
          <w:szCs w:val="32"/>
        </w:rPr>
      </w:pPr>
      <w:r>
        <w:rPr>
          <w:rFonts w:hint="eastAsia" w:ascii="仿宋_GB2312" w:eastAsia="仿宋_GB2312"/>
          <w:sz w:val="32"/>
          <w:szCs w:val="32"/>
        </w:rPr>
        <w:t>三、支出决算情况说明</w:t>
      </w:r>
    </w:p>
    <w:p>
      <w:pPr>
        <w:ind w:firstLine="640" w:firstLineChars="200"/>
        <w:rPr>
          <w:rFonts w:ascii="仿宋_GB2312" w:eastAsia="仿宋_GB2312"/>
          <w:sz w:val="32"/>
          <w:szCs w:val="32"/>
        </w:rPr>
      </w:pPr>
      <w:r>
        <w:rPr>
          <w:rFonts w:hint="eastAsia" w:ascii="仿宋_GB2312" w:eastAsia="仿宋_GB2312"/>
          <w:sz w:val="32"/>
          <w:szCs w:val="32"/>
        </w:rPr>
        <w:t>本年支出合计1，209.55万元，其中基本支出938.91万元，占77.62%；项目支出270.64万元，占22.38%。</w:t>
      </w:r>
    </w:p>
    <w:p>
      <w:pPr>
        <w:ind w:firstLine="640" w:firstLineChars="200"/>
        <w:rPr>
          <w:rFonts w:ascii="仿宋_GB2312" w:eastAsia="仿宋_GB2312"/>
          <w:sz w:val="32"/>
          <w:szCs w:val="32"/>
        </w:rPr>
      </w:pPr>
      <w:r>
        <w:rPr>
          <w:rFonts w:hint="eastAsia" w:ascii="仿宋_GB2312" w:eastAsia="仿宋_GB2312"/>
          <w:sz w:val="32"/>
          <w:szCs w:val="32"/>
        </w:rPr>
        <w:t>（取自2018年度财决03表支出决算表）</w:t>
      </w:r>
    </w:p>
    <w:p>
      <w:pPr>
        <w:ind w:firstLine="640" w:firstLineChars="200"/>
        <w:rPr>
          <w:rFonts w:ascii="仿宋_GB2312" w:eastAsia="仿宋_GB2312"/>
          <w:sz w:val="32"/>
          <w:szCs w:val="32"/>
        </w:rPr>
      </w:pPr>
      <w:r>
        <w:rPr>
          <w:rFonts w:hint="eastAsia" w:ascii="仿宋_GB2312" w:eastAsia="仿宋_GB2312"/>
          <w:sz w:val="32"/>
          <w:szCs w:val="32"/>
        </w:rPr>
        <w:t>四、财政拨款收入支出决算总体情况说明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2018年度财政拨款收入总计1，161.19万元。与2017年度相比，财政拨款收入减少2，896.12万元，下降71.38%。主要原因是商品服务业等支出减少。</w:t>
      </w:r>
    </w:p>
    <w:p>
      <w:pPr>
        <w:ind w:firstLine="640" w:firstLineChars="200"/>
        <w:rPr>
          <w:rFonts w:ascii="仿宋_GB2312" w:eastAsia="仿宋_GB2312"/>
          <w:sz w:val="32"/>
          <w:szCs w:val="32"/>
        </w:rPr>
      </w:pPr>
      <w:r>
        <w:rPr>
          <w:rFonts w:hint="eastAsia" w:ascii="仿宋_GB2312" w:eastAsia="仿宋_GB2312"/>
          <w:sz w:val="32"/>
          <w:szCs w:val="32"/>
        </w:rPr>
        <w:t>2018年度财政拨款支出总计1，209.55万元。与2017年度相比，财政拨款支出减少2,847.76万元，下降70.19%。主要原因是商品服务业等支出减少。</w:t>
      </w:r>
    </w:p>
    <w:p>
      <w:pPr>
        <w:ind w:firstLine="640" w:firstLineChars="200"/>
        <w:rPr>
          <w:rFonts w:ascii="仿宋_GB2312" w:eastAsia="仿宋_GB2312"/>
          <w:sz w:val="32"/>
          <w:szCs w:val="32"/>
        </w:rPr>
      </w:pPr>
      <w:r>
        <w:rPr>
          <w:rFonts w:hint="eastAsia" w:ascii="仿宋_GB2312" w:eastAsia="仿宋_GB2312"/>
          <w:sz w:val="32"/>
          <w:szCs w:val="32"/>
        </w:rPr>
        <w:t>（取自2018年度财决04表财政拨款收入支出决算表）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五、一般公共预算财政拨款支出决算情况说明。</w:t>
      </w:r>
    </w:p>
    <w:p>
      <w:pPr>
        <w:ind w:firstLine="640" w:firstLineChars="200"/>
        <w:rPr>
          <w:rFonts w:ascii="仿宋_GB2312" w:eastAsia="仿宋_GB2312"/>
          <w:sz w:val="32"/>
          <w:szCs w:val="32"/>
        </w:rPr>
      </w:pPr>
      <w:r>
        <w:rPr>
          <w:rFonts w:hint="eastAsia" w:ascii="仿宋_GB2312" w:eastAsia="仿宋_GB2312"/>
          <w:sz w:val="32"/>
          <w:szCs w:val="32"/>
        </w:rPr>
        <w:t>（一）一般公共预算财政收款支出决算总体情况。</w:t>
      </w:r>
    </w:p>
    <w:p>
      <w:pPr>
        <w:ind w:firstLine="640" w:firstLineChars="200"/>
        <w:rPr>
          <w:rFonts w:ascii="仿宋_GB2312" w:eastAsia="仿宋_GB2312"/>
          <w:sz w:val="32"/>
          <w:szCs w:val="32"/>
        </w:rPr>
      </w:pPr>
      <w:r>
        <w:rPr>
          <w:rFonts w:hint="eastAsia" w:ascii="仿宋_GB2312" w:eastAsia="仿宋_GB2312"/>
          <w:sz w:val="32"/>
          <w:szCs w:val="32"/>
        </w:rPr>
        <w:t>2018年度一般公共预算财政拨款支出1，209.55万元，占本年支出合计的100%。与2017年度相比，财政拨款支出减少2,847.76万元，下降70.19%。主要原因是商品服务业等支出减少。</w:t>
      </w:r>
    </w:p>
    <w:p>
      <w:pPr>
        <w:ind w:firstLine="640" w:firstLineChars="200"/>
        <w:rPr>
          <w:rFonts w:ascii="仿宋_GB2312" w:eastAsia="仿宋_GB2312"/>
          <w:sz w:val="32"/>
          <w:szCs w:val="32"/>
        </w:rPr>
      </w:pPr>
      <w:r>
        <w:rPr>
          <w:rFonts w:hint="eastAsia" w:ascii="仿宋_GB2312" w:eastAsia="仿宋_GB2312"/>
          <w:sz w:val="32"/>
          <w:szCs w:val="32"/>
        </w:rPr>
        <w:t>（取自2018年度财决05表一般公共预算财政拨款支出决算）</w:t>
      </w:r>
    </w:p>
    <w:p>
      <w:pPr>
        <w:ind w:firstLine="640" w:firstLineChars="200"/>
        <w:rPr>
          <w:rFonts w:ascii="仿宋_GB2312" w:eastAsia="仿宋_GB2312"/>
          <w:sz w:val="32"/>
          <w:szCs w:val="32"/>
        </w:rPr>
      </w:pPr>
      <w:r>
        <w:rPr>
          <w:rFonts w:hint="eastAsia" w:ascii="仿宋_GB2312" w:eastAsia="仿宋_GB2312"/>
          <w:sz w:val="32"/>
          <w:szCs w:val="32"/>
        </w:rPr>
        <w:t>（二）财政拨款支出决算结构情况</w:t>
      </w:r>
    </w:p>
    <w:p>
      <w:pPr>
        <w:ind w:firstLine="640" w:firstLineChars="200"/>
        <w:rPr>
          <w:rFonts w:ascii="仿宋_GB2312" w:eastAsia="仿宋_GB2312"/>
          <w:sz w:val="32"/>
          <w:szCs w:val="32"/>
        </w:rPr>
      </w:pPr>
      <w:r>
        <w:rPr>
          <w:rFonts w:hint="eastAsia" w:ascii="仿宋_GB2312" w:eastAsia="仿宋_GB2312"/>
          <w:sz w:val="32"/>
          <w:szCs w:val="32"/>
        </w:rPr>
        <w:t>2018年度一般公共预算财政拨款支出1，209.55万元，主要用于以下方面：社会保障和就业（类）支出158.31万元，占13.09%；医疗卫生与计划生育（类）支出20.21万元，占1.67%；农林水支出17.8万元，占1.47%；商业服务业等（类）支出906.00万元，占74.90%;住房保障（类）支出58.87万元，占4.87%；项目支出结转和结余48.36万元，占4%。</w:t>
      </w:r>
    </w:p>
    <w:p>
      <w:pPr>
        <w:ind w:firstLine="640" w:firstLineChars="200"/>
        <w:rPr>
          <w:rFonts w:ascii="仿宋_GB2312" w:eastAsia="仿宋_GB2312"/>
          <w:sz w:val="32"/>
          <w:szCs w:val="32"/>
        </w:rPr>
      </w:pPr>
      <w:r>
        <w:rPr>
          <w:rFonts w:hint="eastAsia" w:ascii="仿宋_GB2312" w:eastAsia="仿宋_GB2312"/>
          <w:sz w:val="32"/>
          <w:szCs w:val="32"/>
        </w:rPr>
        <w:t>（取自2018年度财决05表一般公共预算财政拨款支出决算）</w:t>
      </w:r>
    </w:p>
    <w:p>
      <w:pPr>
        <w:ind w:firstLine="640" w:firstLineChars="200"/>
        <w:rPr>
          <w:rFonts w:ascii="仿宋_GB2312" w:eastAsia="仿宋_GB2312"/>
          <w:sz w:val="32"/>
          <w:szCs w:val="32"/>
        </w:rPr>
      </w:pPr>
      <w:r>
        <w:rPr>
          <w:rFonts w:hint="eastAsia" w:ascii="仿宋_GB2312" w:eastAsia="仿宋_GB2312"/>
          <w:sz w:val="32"/>
          <w:szCs w:val="32"/>
        </w:rPr>
        <w:t>（三）财政拨款支出决算具体情况</w:t>
      </w:r>
    </w:p>
    <w:p>
      <w:pPr>
        <w:ind w:firstLine="640" w:firstLineChars="200"/>
        <w:rPr>
          <w:rFonts w:ascii="仿宋_GB2312" w:eastAsia="仿宋_GB2312"/>
          <w:sz w:val="32"/>
          <w:szCs w:val="32"/>
        </w:rPr>
      </w:pPr>
      <w:r>
        <w:rPr>
          <w:rFonts w:hint="eastAsia" w:ascii="仿宋_GB2312" w:eastAsia="仿宋_GB2312"/>
          <w:sz w:val="32"/>
          <w:szCs w:val="32"/>
        </w:rPr>
        <w:t>2018年度财政拨款支出年初预算为1,518.11万元，支出决算为1,209.55万元，完成年初预算的79.67%。</w:t>
      </w:r>
    </w:p>
    <w:p>
      <w:pPr>
        <w:ind w:firstLine="640" w:firstLineChars="200"/>
        <w:rPr>
          <w:rFonts w:ascii="仿宋_GB2312" w:eastAsia="仿宋_GB2312"/>
          <w:sz w:val="32"/>
          <w:szCs w:val="32"/>
        </w:rPr>
      </w:pPr>
      <w:r>
        <w:rPr>
          <w:rFonts w:hint="eastAsia" w:ascii="仿宋_GB2312" w:eastAsia="仿宋_GB2312"/>
          <w:sz w:val="32"/>
          <w:szCs w:val="32"/>
        </w:rPr>
        <w:t>（取自2018年度财决05表一般公共预算财政拨款支出决算）</w:t>
      </w:r>
    </w:p>
    <w:p>
      <w:pPr>
        <w:ind w:firstLine="640" w:firstLineChars="200"/>
        <w:rPr>
          <w:rFonts w:ascii="仿宋_GB2312" w:eastAsia="仿宋_GB2312"/>
          <w:sz w:val="32"/>
          <w:szCs w:val="32"/>
        </w:rPr>
      </w:pPr>
      <w:r>
        <w:rPr>
          <w:rFonts w:hint="eastAsia" w:ascii="仿宋_GB2312" w:eastAsia="仿宋_GB2312"/>
          <w:sz w:val="32"/>
          <w:szCs w:val="32"/>
        </w:rPr>
        <w:t>其中：</w:t>
      </w:r>
    </w:p>
    <w:p>
      <w:pPr>
        <w:ind w:firstLine="640" w:firstLineChars="200"/>
        <w:rPr>
          <w:rFonts w:ascii="仿宋_GB2312" w:eastAsia="仿宋_GB2312"/>
          <w:sz w:val="32"/>
          <w:szCs w:val="32"/>
        </w:rPr>
      </w:pPr>
      <w:r>
        <w:rPr>
          <w:rFonts w:hint="eastAsia" w:ascii="仿宋_GB2312" w:eastAsia="仿宋_GB2312"/>
          <w:sz w:val="32"/>
          <w:szCs w:val="32"/>
        </w:rPr>
        <w:t>1、社会保障和就业支出（类）行政事业单位离退休（款）归口管理的行政单位离退休（项）。年初预算为64.05万元，支出决算为75.38万，完成年初预算的117.69%。决算大于预算数的主要原因：2018年工资标准调整，支出相应增加。</w:t>
      </w:r>
    </w:p>
    <w:p>
      <w:pPr>
        <w:ind w:firstLine="640" w:firstLineChars="200"/>
        <w:rPr>
          <w:rFonts w:ascii="仿宋_GB2312" w:eastAsia="仿宋_GB2312"/>
          <w:sz w:val="32"/>
          <w:szCs w:val="32"/>
        </w:rPr>
      </w:pPr>
      <w:r>
        <w:rPr>
          <w:rFonts w:hint="eastAsia" w:ascii="仿宋_GB2312" w:eastAsia="仿宋_GB2312"/>
          <w:sz w:val="32"/>
          <w:szCs w:val="32"/>
        </w:rPr>
        <w:t>2、社会保障和就业支出（类）行政事业单位离退休（款）机关事业单位基本养老保险缴费支出（项）。年初预算为89.99万元，支出决算为82.93万元，完成年初预算的92.15%。决算小于预算数的主要原因：2018年人员变动，支出相应减少。</w:t>
      </w:r>
    </w:p>
    <w:p>
      <w:pPr>
        <w:ind w:firstLine="640" w:firstLineChars="200"/>
        <w:rPr>
          <w:rFonts w:ascii="仿宋_GB2312" w:eastAsia="仿宋_GB2312"/>
          <w:sz w:val="32"/>
          <w:szCs w:val="32"/>
        </w:rPr>
      </w:pPr>
      <w:r>
        <w:rPr>
          <w:rFonts w:hint="eastAsia" w:ascii="仿宋_GB2312" w:eastAsia="仿宋_GB2312"/>
          <w:sz w:val="32"/>
          <w:szCs w:val="32"/>
        </w:rPr>
        <w:t>3、医疗卫生与计划生育支出（类）行政事业单位医疗（款）行政单位医疗（项）。年初预算为18.92万元，支出决算为19.16万元，完成年初预算的101.27%。决算大于预算数的主要原因：2018年工资标准调整，支出相应增加。</w:t>
      </w:r>
    </w:p>
    <w:p>
      <w:pPr>
        <w:ind w:firstLine="640" w:firstLineChars="200"/>
        <w:rPr>
          <w:rFonts w:ascii="仿宋_GB2312" w:eastAsia="仿宋_GB2312"/>
          <w:sz w:val="32"/>
          <w:szCs w:val="32"/>
        </w:rPr>
      </w:pPr>
      <w:r>
        <w:rPr>
          <w:rFonts w:hint="eastAsia" w:ascii="仿宋_GB2312" w:eastAsia="仿宋_GB2312"/>
          <w:sz w:val="32"/>
          <w:szCs w:val="32"/>
        </w:rPr>
        <w:t>4、医疗卫生与计划生育支出（类）行政事业单位医疗（款）事业单位医疗（项）。年初预算为8.9万元，支出决算为1.05万元，完成年初预算的11.79%。决算小于预算数的主要原因：是年初批复预算时，系统原因导致年初预算较大。</w:t>
      </w:r>
    </w:p>
    <w:p>
      <w:pPr>
        <w:ind w:firstLine="640" w:firstLineChars="200"/>
        <w:rPr>
          <w:rFonts w:ascii="仿宋_GB2312" w:eastAsia="仿宋_GB2312"/>
          <w:sz w:val="32"/>
          <w:szCs w:val="32"/>
        </w:rPr>
      </w:pPr>
      <w:r>
        <w:rPr>
          <w:rFonts w:hint="eastAsia" w:ascii="仿宋_GB2312" w:eastAsia="仿宋_GB2312"/>
          <w:sz w:val="32"/>
          <w:szCs w:val="32"/>
        </w:rPr>
        <w:t>5、农林水支出（类）农业（款）农产品（项）。年初预算为0万元，支出决算为17.78万元。完成年初预算的177.8%。决算大于预算数的主要原因：根据实际业务需求，年底追加调整预算17.78万元。</w:t>
      </w:r>
    </w:p>
    <w:p>
      <w:pPr>
        <w:ind w:firstLine="640" w:firstLineChars="200"/>
        <w:rPr>
          <w:rFonts w:ascii="仿宋_GB2312" w:eastAsia="仿宋_GB2312"/>
          <w:sz w:val="32"/>
          <w:szCs w:val="32"/>
        </w:rPr>
      </w:pPr>
      <w:r>
        <w:rPr>
          <w:rFonts w:hint="eastAsia" w:ascii="仿宋_GB2312" w:eastAsia="仿宋_GB2312"/>
          <w:sz w:val="32"/>
          <w:szCs w:val="32"/>
        </w:rPr>
        <w:t>6、商业服务业等支出（类）商业流通事务（款）行政运行（项）。年初预算为615.66万元，支出决算为666.40万元，完成年初预算的108.24%。决算数大于预算数的原因是人员变动。</w:t>
      </w:r>
    </w:p>
    <w:p>
      <w:pPr>
        <w:ind w:firstLine="640" w:firstLineChars="200"/>
        <w:rPr>
          <w:rFonts w:ascii="仿宋_GB2312" w:eastAsia="仿宋_GB2312"/>
          <w:sz w:val="32"/>
          <w:szCs w:val="32"/>
        </w:rPr>
      </w:pPr>
      <w:r>
        <w:rPr>
          <w:rFonts w:hint="eastAsia" w:ascii="仿宋_GB2312" w:eastAsia="仿宋_GB2312"/>
          <w:sz w:val="32"/>
          <w:szCs w:val="32"/>
        </w:rPr>
        <w:t>7、商业服务业等支出（类）商业流通事务（款）一般行政管理事务（项）。年初预算为187.6万元，支出决算为172.08万元，完成年初预算的91.73%。</w:t>
      </w:r>
    </w:p>
    <w:p>
      <w:pPr>
        <w:ind w:firstLine="640" w:firstLineChars="200"/>
        <w:rPr>
          <w:rFonts w:ascii="仿宋_GB2312" w:eastAsia="仿宋_GB2312"/>
          <w:sz w:val="32"/>
          <w:szCs w:val="32"/>
        </w:rPr>
      </w:pPr>
      <w:r>
        <w:rPr>
          <w:rFonts w:hint="eastAsia" w:ascii="仿宋_GB2312" w:eastAsia="仿宋_GB2312"/>
          <w:sz w:val="32"/>
          <w:szCs w:val="32"/>
        </w:rPr>
        <w:t>8、商业服务业等支出（类）商业流通事务（款）市场监测及信息管理（项）。年初预算为39.3万元，支出决算为32.4万元，完成年初预算的82.44%。</w:t>
      </w:r>
    </w:p>
    <w:p>
      <w:pPr>
        <w:ind w:firstLine="640" w:firstLineChars="200"/>
        <w:rPr>
          <w:rFonts w:ascii="仿宋_GB2312" w:eastAsia="仿宋_GB2312"/>
          <w:sz w:val="32"/>
          <w:szCs w:val="32"/>
        </w:rPr>
      </w:pPr>
      <w:r>
        <w:rPr>
          <w:rFonts w:hint="eastAsia" w:ascii="仿宋_GB2312" w:eastAsia="仿宋_GB2312"/>
          <w:sz w:val="32"/>
          <w:szCs w:val="32"/>
        </w:rPr>
        <w:t>9、商业服务业等支出（类）商业流通事务（款）事业运行（项）。年初预算为29.56万元，支出决算为35.13万元，完成年初预算的118.84%。决算大于预算数的原因是：2018年工资标准调整，支出相应增加。</w:t>
      </w:r>
    </w:p>
    <w:p>
      <w:pPr>
        <w:ind w:firstLine="640" w:firstLineChars="200"/>
        <w:rPr>
          <w:rFonts w:ascii="仿宋_GB2312" w:eastAsia="仿宋_GB2312"/>
          <w:sz w:val="32"/>
          <w:szCs w:val="32"/>
        </w:rPr>
      </w:pPr>
      <w:r>
        <w:rPr>
          <w:rFonts w:hint="eastAsia" w:ascii="仿宋_GB2312" w:eastAsia="仿宋_GB2312"/>
          <w:sz w:val="32"/>
          <w:szCs w:val="32"/>
        </w:rPr>
        <w:t>10、住房保障支出（类）住房改革支出（款）住房公积金（项）。年初预算为61.33万元，支出决算为58.06万元，完成年初预算的94.67%。决算小于预算数的原因是人员变动。</w:t>
      </w:r>
    </w:p>
    <w:p>
      <w:pPr>
        <w:ind w:firstLine="640" w:firstLineChars="200"/>
        <w:rPr>
          <w:rFonts w:ascii="仿宋_GB2312" w:eastAsia="仿宋_GB2312"/>
          <w:sz w:val="32"/>
          <w:szCs w:val="32"/>
        </w:rPr>
      </w:pPr>
      <w:r>
        <w:rPr>
          <w:rFonts w:hint="eastAsia" w:ascii="仿宋_GB2312" w:eastAsia="仿宋_GB2312"/>
          <w:sz w:val="32"/>
          <w:szCs w:val="32"/>
        </w:rPr>
        <w:t>11、住房保障支出（类）住房改革支出（款）购房补贴（项）。年初预算为0.81万元，支出决算为0.81万元，完成年初预算的100%。</w:t>
      </w:r>
    </w:p>
    <w:p>
      <w:pPr>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ind w:firstLine="640" w:firstLineChars="200"/>
        <w:rPr>
          <w:rFonts w:ascii="仿宋_GB2312" w:hAnsi="ˎ̥" w:eastAsia="仿宋_GB2312"/>
          <w:sz w:val="32"/>
          <w:szCs w:val="32"/>
        </w:rPr>
      </w:pPr>
      <w:r>
        <w:rPr>
          <w:rFonts w:hint="eastAsia" w:ascii="仿宋_GB2312" w:eastAsia="仿宋_GB2312"/>
          <w:sz w:val="32"/>
          <w:szCs w:val="32"/>
        </w:rPr>
        <w:t>2018年度财政拨款基本支出938.91万元，其中：人员经费809.65万元，</w:t>
      </w:r>
      <w:r>
        <w:rPr>
          <w:rFonts w:hint="eastAsia" w:ascii="仿宋_GB2312" w:hAnsi="ˎ̥" w:eastAsia="仿宋_GB2312"/>
          <w:sz w:val="32"/>
          <w:szCs w:val="32"/>
        </w:rPr>
        <w:t>主要包括：基本工资、津贴补贴、奖金、社会保障缴费、绩效工资、其他工资福利支出等、离休费、退休费、退职（役）费、抚恤金、生活补助、救济费、医疗费、助学金、奖励金、生产补贴、住房公积金、提租补贴、购房补贴、其他对个人和家庭的补助支出等。公用经费129.26万元，主要包括：办公费、印刷费、手续费、水费、电费、邮电费、物业管理费、差旅费、因公出国（境）费用、维修（护）费、租赁费、会议费、培训费、公务接待费、专用材料费、办公设备购置、专用燃料费、劳务费、委托业务费、工会经费、福利费、公务用车运行维护费、其他交通费用、税金及附加费用、其他商品和服务支出。</w:t>
      </w:r>
    </w:p>
    <w:p>
      <w:pPr>
        <w:ind w:firstLine="640" w:firstLineChars="200"/>
        <w:rPr>
          <w:rFonts w:ascii="仿宋_GB2312" w:eastAsia="仿宋_GB2312"/>
          <w:sz w:val="32"/>
          <w:szCs w:val="32"/>
        </w:rPr>
      </w:pPr>
      <w:r>
        <w:rPr>
          <w:rFonts w:hint="eastAsia" w:ascii="仿宋_GB2312" w:eastAsia="仿宋_GB2312"/>
          <w:sz w:val="32"/>
          <w:szCs w:val="32"/>
        </w:rPr>
        <w:t>（取自2018年度财决06表一般公共预算财政拨款基本支出决算）</w:t>
      </w:r>
    </w:p>
    <w:p>
      <w:pPr>
        <w:ind w:firstLine="640" w:firstLineChars="200"/>
        <w:rPr>
          <w:rFonts w:ascii="仿宋_GB2312" w:hAnsi="ˎ̥" w:eastAsia="仿宋_GB2312"/>
          <w:sz w:val="32"/>
          <w:szCs w:val="32"/>
        </w:rPr>
      </w:pPr>
      <w:r>
        <w:rPr>
          <w:rFonts w:hint="eastAsia" w:ascii="仿宋_GB2312" w:hAnsi="ˎ̥" w:eastAsia="仿宋_GB2312"/>
          <w:sz w:val="32"/>
          <w:szCs w:val="32"/>
        </w:rPr>
        <w:t>七、政府性基金预算财政拨款收入支出决算情况说明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（一）2018年度政府性基金预算财政拨款收入0.00万元。</w:t>
      </w:r>
    </w:p>
    <w:p>
      <w:pPr>
        <w:ind w:firstLine="640" w:firstLineChars="200"/>
        <w:rPr>
          <w:rFonts w:ascii="仿宋_GB2312" w:hAnsi="ˎ̥" w:eastAsia="仿宋_GB2312"/>
          <w:sz w:val="32"/>
          <w:szCs w:val="32"/>
        </w:rPr>
      </w:pPr>
      <w:r>
        <w:rPr>
          <w:rFonts w:hint="eastAsia" w:ascii="仿宋_GB2312" w:hAnsi="ˎ̥" w:eastAsia="仿宋_GB2312"/>
          <w:sz w:val="32"/>
          <w:szCs w:val="32"/>
        </w:rPr>
        <w:t>（二）2018年度政府性基金预算财政拨款支出0.00万元。</w:t>
      </w:r>
    </w:p>
    <w:p>
      <w:pPr>
        <w:ind w:firstLine="640" w:firstLineChars="200"/>
        <w:rPr>
          <w:rFonts w:ascii="仿宋_GB2312" w:hAnsi="ˎ̥" w:eastAsia="仿宋_GB2312"/>
          <w:sz w:val="32"/>
          <w:szCs w:val="32"/>
        </w:rPr>
      </w:pPr>
      <w:r>
        <w:rPr>
          <w:rFonts w:hint="eastAsia" w:ascii="仿宋_GB2312" w:hAnsi="ˎ̥" w:eastAsia="仿宋_GB2312"/>
          <w:sz w:val="32"/>
          <w:szCs w:val="32"/>
        </w:rPr>
        <w:t>（三）2018年度政府性基金预算财政拨款支出年初预算为0.00万元，支出决算为0.00万元。</w:t>
      </w:r>
    </w:p>
    <w:p>
      <w:pPr>
        <w:ind w:firstLine="640" w:firstLineChars="200"/>
        <w:rPr>
          <w:rFonts w:ascii="仿宋_GB2312" w:hAnsi="ˎ̥" w:eastAsia="仿宋_GB2312"/>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八、一般公共预算财政拨款“三公”经费支出决算情况说明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（一）一般公共预算财政拨款“三公”经费支出决算总体情况说明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2018年度一般公共预算财政拨款“三公”经费支出预算为39.55万元，支出决算为9.67万元，完成预算的24.45%，决算数小于预算数的主要原因：是我单位贯彻落实中央八项规定和省委省政府二十条规定，厉行节约，大力压缩三公经费支出。</w:t>
      </w:r>
    </w:p>
    <w:p>
      <w:pPr>
        <w:ind w:firstLine="640" w:firstLineChars="200"/>
        <w:rPr>
          <w:rFonts w:ascii="仿宋_GB2312" w:eastAsia="仿宋_GB2312"/>
          <w:sz w:val="32"/>
          <w:szCs w:val="32"/>
        </w:rPr>
      </w:pPr>
      <w:r>
        <w:rPr>
          <w:rFonts w:hint="eastAsia" w:ascii="仿宋_GB2312" w:eastAsia="仿宋_GB2312"/>
          <w:sz w:val="32"/>
          <w:szCs w:val="32"/>
        </w:rPr>
        <w:t>（二）“三公”经费财政拨款支出决算具体情况说明</w:t>
      </w:r>
    </w:p>
    <w:p>
      <w:pPr>
        <w:ind w:firstLine="640" w:firstLineChars="200"/>
        <w:rPr>
          <w:rFonts w:ascii="仿宋_GB2312" w:eastAsia="仿宋_GB2312"/>
          <w:sz w:val="32"/>
          <w:szCs w:val="32"/>
        </w:rPr>
      </w:pPr>
      <w:r>
        <w:rPr>
          <w:rFonts w:hint="eastAsia" w:ascii="仿宋_GB2312" w:eastAsia="仿宋_GB2312"/>
          <w:sz w:val="32"/>
          <w:szCs w:val="32"/>
        </w:rPr>
        <w:t>2018年度一般公共预算财政拨款“三公”经费支出决算中，因公出国（境）费支出决算0万元，占0%；公务用车购置及运行费支出决算6.80万元，占70.32%；公务接待费支出决算2.87万元，占29.78%。具体情况如下：</w:t>
      </w:r>
    </w:p>
    <w:p>
      <w:pPr>
        <w:ind w:firstLine="640" w:firstLineChars="200"/>
        <w:rPr>
          <w:rFonts w:ascii="仿宋_GB2312" w:eastAsia="仿宋_GB2312"/>
          <w:sz w:val="32"/>
          <w:szCs w:val="32"/>
        </w:rPr>
      </w:pPr>
      <w:r>
        <w:rPr>
          <w:rFonts w:hint="eastAsia" w:ascii="仿宋_GB2312" w:eastAsia="仿宋_GB2312"/>
          <w:sz w:val="32"/>
          <w:szCs w:val="32"/>
        </w:rPr>
        <w:t>1、因公出国（境）费支出为0万元。</w:t>
      </w:r>
    </w:p>
    <w:p>
      <w:pPr>
        <w:ind w:firstLine="640" w:firstLineChars="200"/>
        <w:rPr>
          <w:rFonts w:ascii="仿宋_GB2312" w:eastAsia="仿宋_GB2312"/>
          <w:sz w:val="32"/>
          <w:szCs w:val="32"/>
        </w:rPr>
      </w:pPr>
      <w:r>
        <w:rPr>
          <w:rFonts w:hint="eastAsia" w:ascii="仿宋_GB2312" w:eastAsia="仿宋_GB2312"/>
          <w:sz w:val="32"/>
          <w:szCs w:val="32"/>
        </w:rPr>
        <w:t>因公出国（境）费支出决算比2017年度一样没有出国情况。主要原因是2018年我社工作重心放在巡视整改上。</w:t>
      </w:r>
    </w:p>
    <w:p>
      <w:pPr>
        <w:ind w:firstLine="640" w:firstLineChars="200"/>
        <w:rPr>
          <w:rFonts w:ascii="仿宋_GB2312" w:eastAsia="仿宋_GB2312"/>
          <w:sz w:val="32"/>
          <w:szCs w:val="32"/>
        </w:rPr>
      </w:pPr>
      <w:r>
        <w:rPr>
          <w:rFonts w:hint="eastAsia" w:ascii="仿宋_GB2312" w:eastAsia="仿宋_GB2312"/>
          <w:sz w:val="32"/>
          <w:szCs w:val="32"/>
        </w:rPr>
        <w:t>2、公务用车购置及运行费支出6.80万元。其中：</w:t>
      </w:r>
    </w:p>
    <w:p>
      <w:pPr>
        <w:ind w:firstLine="640" w:firstLineChars="200"/>
        <w:rPr>
          <w:rFonts w:ascii="仿宋_GB2312" w:eastAsia="仿宋_GB2312"/>
          <w:sz w:val="32"/>
          <w:szCs w:val="32"/>
        </w:rPr>
      </w:pPr>
      <w:r>
        <w:rPr>
          <w:rFonts w:hint="eastAsia" w:ascii="仿宋_GB2312" w:eastAsia="仿宋_GB2312"/>
          <w:sz w:val="32"/>
          <w:szCs w:val="32"/>
        </w:rPr>
        <w:t>公务用车购置支出为0万元。</w:t>
      </w:r>
    </w:p>
    <w:p>
      <w:pPr>
        <w:ind w:firstLine="640" w:firstLineChars="200"/>
        <w:rPr>
          <w:rFonts w:ascii="仿宋_GB2312" w:eastAsia="仿宋_GB2312"/>
          <w:sz w:val="32"/>
          <w:szCs w:val="32"/>
        </w:rPr>
      </w:pPr>
      <w:r>
        <w:rPr>
          <w:rFonts w:hint="eastAsia" w:ascii="仿宋_GB2312" w:eastAsia="仿宋_GB2312"/>
          <w:sz w:val="32"/>
          <w:szCs w:val="32"/>
        </w:rPr>
        <w:t>公务用车运行支出6.80万元，主要用于油费、维修费、保险费。</w:t>
      </w:r>
    </w:p>
    <w:p>
      <w:pPr>
        <w:ind w:firstLine="640" w:firstLineChars="200"/>
        <w:rPr>
          <w:rFonts w:ascii="仿宋_GB2312" w:eastAsia="仿宋_GB2312"/>
          <w:sz w:val="32"/>
          <w:szCs w:val="32"/>
        </w:rPr>
      </w:pPr>
      <w:r>
        <w:rPr>
          <w:rFonts w:hint="eastAsia" w:ascii="仿宋_GB2312" w:eastAsia="仿宋_GB2312"/>
          <w:sz w:val="32"/>
          <w:szCs w:val="32"/>
        </w:rPr>
        <w:t>公务用车购置及运行费支出决算比2017年度减少2.6万元，下降27.66%。主要原因是贯彻省委省政府二十条规定，厉行节约，同时部门加强公务车的运维管理，合理调度公务用车，节约公务车运行成本。</w:t>
      </w:r>
    </w:p>
    <w:p>
      <w:pPr>
        <w:ind w:firstLine="640" w:firstLineChars="200"/>
        <w:rPr>
          <w:rFonts w:ascii="仿宋_GB2312" w:eastAsia="仿宋_GB2312"/>
          <w:sz w:val="32"/>
          <w:szCs w:val="32"/>
        </w:rPr>
      </w:pPr>
      <w:r>
        <w:rPr>
          <w:rFonts w:hint="eastAsia" w:ascii="仿宋_GB2312" w:eastAsia="仿宋_GB2312"/>
          <w:sz w:val="32"/>
          <w:szCs w:val="32"/>
        </w:rPr>
        <w:t>（3）公务接待费支出2.87万元，其中：</w:t>
      </w:r>
    </w:p>
    <w:p>
      <w:pPr>
        <w:ind w:firstLine="640" w:firstLineChars="200"/>
        <w:rPr>
          <w:rFonts w:ascii="仿宋_GB2312" w:eastAsia="仿宋_GB2312"/>
          <w:sz w:val="32"/>
          <w:szCs w:val="32"/>
        </w:rPr>
      </w:pPr>
      <w:r>
        <w:rPr>
          <w:rFonts w:hint="eastAsia" w:ascii="仿宋_GB2312" w:eastAsia="仿宋_GB2312"/>
          <w:sz w:val="32"/>
          <w:szCs w:val="32"/>
        </w:rPr>
        <w:t>其他国内公务接待支出2.87万元，主要用于各省供销社组织来我省考察的学习团队接待费用。2018年度共接待国内来访团组数8个，来宾243人次。</w:t>
      </w:r>
    </w:p>
    <w:p>
      <w:pPr>
        <w:ind w:firstLine="640" w:firstLineChars="200"/>
        <w:rPr>
          <w:rFonts w:ascii="仿宋_GB2312" w:eastAsia="仿宋_GB2312"/>
          <w:sz w:val="32"/>
          <w:szCs w:val="32"/>
        </w:rPr>
      </w:pPr>
      <w:r>
        <w:rPr>
          <w:rFonts w:hint="eastAsia" w:ascii="仿宋_GB2312" w:eastAsia="仿宋_GB2312"/>
          <w:sz w:val="32"/>
          <w:szCs w:val="32"/>
        </w:rPr>
        <w:t>公务接待费支出决算比2017年增加1.99万元，增长226.24%。主要原因是：我社一直严格公务接待审批，每年公务接待费用支出都较少，2018年公务接待工作正常开展，主要用于接待海南省农产品冬交会各省市领导及来宾。</w:t>
      </w:r>
    </w:p>
    <w:p>
      <w:pPr>
        <w:ind w:firstLine="640" w:firstLineChars="200"/>
        <w:rPr>
          <w:rFonts w:ascii="仿宋_GB2312" w:eastAsia="仿宋_GB2312"/>
          <w:sz w:val="32"/>
          <w:szCs w:val="32"/>
        </w:rPr>
      </w:pPr>
      <w:r>
        <w:rPr>
          <w:rFonts w:hint="eastAsia" w:ascii="仿宋_GB2312" w:eastAsia="仿宋_GB2312"/>
          <w:sz w:val="32"/>
          <w:szCs w:val="32"/>
        </w:rPr>
        <w:t>（本表取自决算报表CS05表）</w:t>
      </w:r>
    </w:p>
    <w:p>
      <w:pPr>
        <w:ind w:firstLine="640" w:firstLineChars="200"/>
        <w:rPr>
          <w:rFonts w:ascii="仿宋_GB2312" w:hAnsi="ˎ̥" w:eastAsia="仿宋_GB2312"/>
          <w:sz w:val="32"/>
          <w:szCs w:val="32"/>
        </w:rPr>
      </w:pPr>
      <w:r>
        <w:rPr>
          <w:rFonts w:hint="eastAsia" w:ascii="仿宋_GB2312" w:hAnsi="ˎ̥" w:eastAsia="仿宋_GB2312"/>
          <w:sz w:val="32"/>
          <w:szCs w:val="32"/>
        </w:rPr>
        <w:t>九、政府性基金预算财政拨款“三公”经费支出决算情况说明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2018年度政府性基金预算财政拨款“三公”经费支出0.00万元。（取自2018年财决09表政府性基金预算财政拨款“三公”经费支出决算表）</w:t>
      </w:r>
    </w:p>
    <w:p>
      <w:pPr>
        <w:ind w:firstLine="640" w:firstLineChars="200"/>
        <w:rPr>
          <w:rFonts w:ascii="仿宋_GB2312" w:hAnsi="ˎ̥" w:eastAsia="仿宋_GB2312"/>
          <w:sz w:val="32"/>
          <w:szCs w:val="32"/>
        </w:rPr>
      </w:pPr>
      <w:r>
        <w:rPr>
          <w:rFonts w:hint="eastAsia" w:ascii="仿宋_GB2312" w:hAnsi="ˎ̥" w:eastAsia="仿宋_GB2312"/>
          <w:sz w:val="32"/>
          <w:szCs w:val="32"/>
        </w:rPr>
        <w:t>十、资产负债决算情况说明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2018年度末部门资产总计21,119.48万元，负债总计4,511.88万元，净资产总计16,607.6万元，国有资产总量16,607.6万元。（取自2018年财决10表《资产负债简表》）</w:t>
      </w:r>
    </w:p>
    <w:p>
      <w:pPr>
        <w:ind w:firstLine="640" w:firstLineChars="200"/>
        <w:rPr>
          <w:rFonts w:ascii="仿宋_GB2312" w:eastAsia="仿宋_GB2312"/>
          <w:sz w:val="32"/>
          <w:szCs w:val="32"/>
        </w:rPr>
      </w:pPr>
      <w:r>
        <w:rPr>
          <w:rFonts w:hint="eastAsia" w:ascii="仿宋_GB2312" w:eastAsia="仿宋_GB2312"/>
          <w:sz w:val="32"/>
          <w:szCs w:val="32"/>
        </w:rPr>
        <w:t>十一、预算绩效情况说明</w:t>
      </w:r>
    </w:p>
    <w:p>
      <w:pPr>
        <w:ind w:firstLine="640" w:firstLineChars="200"/>
        <w:rPr>
          <w:rFonts w:ascii="仿宋_GB2312" w:eastAsia="仿宋_GB2312"/>
          <w:sz w:val="32"/>
          <w:szCs w:val="32"/>
        </w:rPr>
      </w:pPr>
      <w:r>
        <w:rPr>
          <w:rFonts w:hint="eastAsia" w:ascii="仿宋_GB2312" w:eastAsia="仿宋_GB2312"/>
          <w:sz w:val="32"/>
          <w:szCs w:val="32"/>
        </w:rPr>
        <w:t>1.绩效管理工作开展情况。根据财政预算管理要求，省社组织对2018年度纳入绩效自评范围的一般公共预算项目支出开展全面绩效自评。包括“综合事务管理”1个一级项目，共涉及资金187.6万元，自评覆盖率达到100%。从评价情况来看，我单位在加强预算项目绩效评价管理，控制部门运行成本，提高部门资产管理效率及规范部门预算资金管理方面效果显著。2018年部门整体支出绩效评价从资金投入、过程、产出、效果这四个方面进行自评，项目绩效评价级次为优秀。</w:t>
      </w:r>
    </w:p>
    <w:p>
      <w:pPr>
        <w:ind w:firstLine="640" w:firstLineChars="200"/>
        <w:rPr>
          <w:rFonts w:ascii="仿宋_GB2312" w:eastAsia="仿宋_GB2312"/>
          <w:sz w:val="32"/>
          <w:szCs w:val="32"/>
        </w:rPr>
      </w:pPr>
      <w:r>
        <w:rPr>
          <w:rFonts w:hint="eastAsia" w:ascii="仿宋_GB2312" w:eastAsia="仿宋_GB2312"/>
          <w:sz w:val="32"/>
          <w:szCs w:val="32"/>
        </w:rPr>
        <w:t>2.部门决算中项目绩效自评结果</w:t>
      </w:r>
    </w:p>
    <w:p>
      <w:pPr>
        <w:ind w:firstLine="640" w:firstLineChars="200"/>
        <w:rPr>
          <w:rFonts w:ascii="宋体" w:hAnsi="宋体"/>
          <w:b/>
          <w:sz w:val="44"/>
          <w:szCs w:val="44"/>
        </w:rPr>
      </w:pPr>
      <w:r>
        <w:rPr>
          <w:rFonts w:hint="eastAsia" w:ascii="仿宋_GB2312" w:eastAsia="仿宋_GB2312"/>
          <w:sz w:val="32"/>
          <w:szCs w:val="32"/>
        </w:rPr>
        <w:t>综合事务管理项目得分为96.92分。主要问题及原因：会议、培训和差旅费等支出进度缓慢。原因一是上年资金结余导致该项目资金大于年初预算数且支出有限安排使用上年结余资金；二是2018年我社工作重心放在巡视整改上，各项财务支出受到较大影响；下一步整改措施：做好供销事务项目经费支出的管控，科学合理的调整项目支出进度。</w:t>
      </w:r>
    </w:p>
    <w:p>
      <w:pPr>
        <w:spacing w:line="530" w:lineRule="exact"/>
        <w:jc w:val="center"/>
        <w:rPr>
          <w:rFonts w:ascii="宋体" w:hAnsi="宋体"/>
          <w:b/>
          <w:sz w:val="44"/>
          <w:szCs w:val="44"/>
        </w:rPr>
      </w:pPr>
    </w:p>
    <w:p>
      <w:pPr>
        <w:spacing w:line="530" w:lineRule="exact"/>
        <w:jc w:val="center"/>
        <w:rPr>
          <w:rFonts w:ascii="宋体" w:hAnsi="宋体"/>
          <w:b/>
          <w:sz w:val="44"/>
          <w:szCs w:val="44"/>
        </w:rPr>
      </w:pPr>
    </w:p>
    <w:p>
      <w:pPr>
        <w:spacing w:line="530" w:lineRule="exact"/>
        <w:jc w:val="center"/>
        <w:rPr>
          <w:rFonts w:ascii="宋体" w:hAnsi="宋体"/>
          <w:b/>
          <w:sz w:val="44"/>
          <w:szCs w:val="44"/>
        </w:rPr>
      </w:pPr>
    </w:p>
    <w:p>
      <w:pPr>
        <w:spacing w:line="530" w:lineRule="exact"/>
        <w:jc w:val="center"/>
        <w:rPr>
          <w:rFonts w:ascii="宋体" w:hAnsi="宋体"/>
          <w:b/>
          <w:sz w:val="44"/>
          <w:szCs w:val="44"/>
        </w:rPr>
      </w:pPr>
    </w:p>
    <w:p>
      <w:pPr>
        <w:spacing w:line="530" w:lineRule="exact"/>
        <w:jc w:val="center"/>
        <w:rPr>
          <w:rFonts w:ascii="宋体" w:hAnsi="宋体"/>
          <w:b/>
          <w:sz w:val="44"/>
          <w:szCs w:val="44"/>
        </w:rPr>
      </w:pPr>
    </w:p>
    <w:p>
      <w:pPr>
        <w:spacing w:line="530" w:lineRule="exact"/>
        <w:rPr>
          <w:rFonts w:ascii="宋体" w:hAnsi="宋体"/>
          <w:b/>
          <w:sz w:val="44"/>
          <w:szCs w:val="44"/>
        </w:rPr>
      </w:pPr>
    </w:p>
    <w:p>
      <w:pPr>
        <w:spacing w:line="530" w:lineRule="exact"/>
        <w:jc w:val="center"/>
        <w:rPr>
          <w:rFonts w:ascii="宋体" w:hAnsi="宋体"/>
          <w:b/>
          <w:sz w:val="44"/>
          <w:szCs w:val="44"/>
        </w:rPr>
      </w:pPr>
      <w:r>
        <w:rPr>
          <w:rFonts w:hint="eastAsia" w:ascii="宋体" w:hAnsi="宋体"/>
          <w:b/>
          <w:sz w:val="44"/>
          <w:szCs w:val="44"/>
        </w:rPr>
        <w:t>项目基本信息表</w:t>
      </w:r>
    </w:p>
    <w:p>
      <w:pPr>
        <w:spacing w:line="530" w:lineRule="exact"/>
        <w:rPr>
          <w:rFonts w:ascii="宋体" w:hAnsi="宋体"/>
          <w:b/>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503"/>
        <w:gridCol w:w="425"/>
        <w:gridCol w:w="645"/>
        <w:gridCol w:w="680"/>
        <w:gridCol w:w="25"/>
        <w:gridCol w:w="640"/>
        <w:gridCol w:w="165"/>
        <w:gridCol w:w="49"/>
        <w:gridCol w:w="1418"/>
        <w:gridCol w:w="303"/>
        <w:gridCol w:w="428"/>
        <w:gridCol w:w="828"/>
        <w:gridCol w:w="108"/>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8770" w:type="dxa"/>
            <w:gridSpan w:val="17"/>
            <w:vAlign w:val="center"/>
          </w:tcPr>
          <w:p>
            <w:pPr>
              <w:spacing w:line="280" w:lineRule="exact"/>
              <w:rPr>
                <w:rFonts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项目实施单位</w:t>
            </w:r>
          </w:p>
        </w:tc>
        <w:tc>
          <w:tcPr>
            <w:tcW w:w="2415" w:type="dxa"/>
            <w:gridSpan w:val="5"/>
            <w:vAlign w:val="center"/>
          </w:tcPr>
          <w:p>
            <w:pPr>
              <w:spacing w:line="280" w:lineRule="exact"/>
              <w:jc w:val="center"/>
              <w:rPr>
                <w:rFonts w:ascii="宋体" w:hAnsi="宋体"/>
                <w:b/>
                <w:szCs w:val="21"/>
              </w:rPr>
            </w:pPr>
            <w:r>
              <w:rPr>
                <w:rFonts w:hint="eastAsia" w:ascii="宋体" w:hAnsi="宋体"/>
                <w:b/>
                <w:szCs w:val="21"/>
              </w:rPr>
              <w:t>海南省供销合作联社</w:t>
            </w:r>
          </w:p>
        </w:tc>
        <w:tc>
          <w:tcPr>
            <w:tcW w:w="2363" w:type="dxa"/>
            <w:gridSpan w:val="5"/>
            <w:vAlign w:val="center"/>
          </w:tcPr>
          <w:p>
            <w:pPr>
              <w:spacing w:line="280" w:lineRule="exact"/>
              <w:jc w:val="center"/>
              <w:rPr>
                <w:rFonts w:ascii="宋体" w:hAnsi="宋体"/>
                <w:b/>
                <w:szCs w:val="21"/>
              </w:rPr>
            </w:pPr>
            <w:r>
              <w:rPr>
                <w:rFonts w:hint="eastAsia" w:ascii="宋体" w:hAnsi="宋体"/>
                <w:b/>
                <w:szCs w:val="21"/>
              </w:rPr>
              <w:t>主管部门</w:t>
            </w:r>
          </w:p>
        </w:tc>
        <w:tc>
          <w:tcPr>
            <w:tcW w:w="2133" w:type="dxa"/>
            <w:gridSpan w:val="5"/>
            <w:vAlign w:val="center"/>
          </w:tcPr>
          <w:p>
            <w:pPr>
              <w:spacing w:line="280" w:lineRule="exact"/>
              <w:jc w:val="center"/>
              <w:rPr>
                <w:rFonts w:ascii="宋体" w:hAnsi="宋体"/>
                <w:b/>
                <w:szCs w:val="21"/>
              </w:rPr>
            </w:pPr>
            <w:r>
              <w:rPr>
                <w:rFonts w:hint="eastAsia" w:ascii="宋体" w:hAnsi="宋体"/>
                <w:b/>
                <w:szCs w:val="21"/>
              </w:rPr>
              <w:t>海南省供销合作联社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项目负责人</w:t>
            </w:r>
          </w:p>
        </w:tc>
        <w:tc>
          <w:tcPr>
            <w:tcW w:w="1775" w:type="dxa"/>
            <w:gridSpan w:val="4"/>
            <w:vAlign w:val="center"/>
          </w:tcPr>
          <w:p>
            <w:pPr>
              <w:spacing w:line="280" w:lineRule="exact"/>
              <w:ind w:firstLine="422" w:firstLineChars="200"/>
              <w:rPr>
                <w:rFonts w:ascii="宋体" w:hAnsi="宋体"/>
                <w:b/>
                <w:szCs w:val="21"/>
              </w:rPr>
            </w:pPr>
            <w:r>
              <w:rPr>
                <w:rFonts w:hint="eastAsia" w:ascii="宋体" w:hAnsi="宋体"/>
                <w:b/>
                <w:szCs w:val="21"/>
              </w:rPr>
              <w:t>雷雨</w:t>
            </w:r>
          </w:p>
        </w:tc>
        <w:tc>
          <w:tcPr>
            <w:tcW w:w="3003" w:type="dxa"/>
            <w:gridSpan w:val="6"/>
            <w:vAlign w:val="center"/>
          </w:tcPr>
          <w:p>
            <w:pPr>
              <w:spacing w:line="280" w:lineRule="exact"/>
              <w:jc w:val="center"/>
              <w:rPr>
                <w:rFonts w:ascii="宋体" w:hAnsi="宋体"/>
                <w:b/>
                <w:szCs w:val="21"/>
              </w:rPr>
            </w:pPr>
            <w:r>
              <w:rPr>
                <w:rFonts w:hint="eastAsia" w:ascii="宋体" w:hAnsi="宋体"/>
                <w:b/>
                <w:szCs w:val="21"/>
              </w:rPr>
              <w:t>联系电话</w:t>
            </w:r>
          </w:p>
        </w:tc>
        <w:tc>
          <w:tcPr>
            <w:tcW w:w="2133" w:type="dxa"/>
            <w:gridSpan w:val="5"/>
            <w:vAlign w:val="center"/>
          </w:tcPr>
          <w:p>
            <w:pPr>
              <w:spacing w:line="280" w:lineRule="exact"/>
              <w:jc w:val="center"/>
              <w:rPr>
                <w:rFonts w:ascii="宋体" w:hAnsi="宋体"/>
                <w:b/>
                <w:szCs w:val="21"/>
              </w:rPr>
            </w:pPr>
            <w:r>
              <w:rPr>
                <w:rFonts w:hint="eastAsia" w:ascii="宋体" w:hAnsi="宋体"/>
                <w:b/>
                <w:szCs w:val="21"/>
              </w:rPr>
              <w:t>65386833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地址</w:t>
            </w:r>
          </w:p>
        </w:tc>
        <w:tc>
          <w:tcPr>
            <w:tcW w:w="4778" w:type="dxa"/>
            <w:gridSpan w:val="10"/>
            <w:vAlign w:val="center"/>
          </w:tcPr>
          <w:p>
            <w:pPr>
              <w:spacing w:line="280" w:lineRule="exact"/>
              <w:jc w:val="center"/>
              <w:rPr>
                <w:rFonts w:ascii="宋体" w:hAnsi="宋体"/>
                <w:b/>
                <w:szCs w:val="21"/>
              </w:rPr>
            </w:pPr>
            <w:r>
              <w:rPr>
                <w:rFonts w:hint="eastAsia" w:ascii="宋体" w:hAnsi="宋体"/>
                <w:b/>
                <w:szCs w:val="21"/>
              </w:rPr>
              <w:t>海口市白龙南路43号海建大厦副楼三、四楼</w:t>
            </w:r>
          </w:p>
        </w:tc>
        <w:tc>
          <w:tcPr>
            <w:tcW w:w="936" w:type="dxa"/>
            <w:gridSpan w:val="2"/>
            <w:vAlign w:val="center"/>
          </w:tcPr>
          <w:p>
            <w:pPr>
              <w:spacing w:line="280" w:lineRule="exact"/>
              <w:jc w:val="center"/>
              <w:rPr>
                <w:rFonts w:ascii="宋体" w:hAnsi="宋体"/>
                <w:b/>
                <w:szCs w:val="21"/>
              </w:rPr>
            </w:pPr>
            <w:r>
              <w:rPr>
                <w:rFonts w:hint="eastAsia" w:ascii="宋体" w:hAnsi="宋体"/>
                <w:b/>
                <w:szCs w:val="21"/>
              </w:rPr>
              <w:t>邮编</w:t>
            </w:r>
          </w:p>
        </w:tc>
        <w:tc>
          <w:tcPr>
            <w:tcW w:w="1197" w:type="dxa"/>
            <w:gridSpan w:val="3"/>
            <w:vAlign w:val="center"/>
          </w:tcPr>
          <w:p>
            <w:pPr>
              <w:spacing w:line="280" w:lineRule="exact"/>
              <w:jc w:val="center"/>
              <w:rPr>
                <w:rFonts w:ascii="宋体" w:hAnsi="宋体"/>
                <w:b/>
                <w:szCs w:val="21"/>
              </w:rPr>
            </w:pPr>
            <w:r>
              <w:rPr>
                <w:rFonts w:hint="eastAsia" w:ascii="宋体" w:hAnsi="宋体"/>
                <w:b/>
                <w:szCs w:val="21"/>
              </w:rPr>
              <w:t>570204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项目类型</w:t>
            </w:r>
          </w:p>
        </w:tc>
        <w:tc>
          <w:tcPr>
            <w:tcW w:w="6911" w:type="dxa"/>
            <w:gridSpan w:val="15"/>
            <w:vAlign w:val="center"/>
          </w:tcPr>
          <w:p>
            <w:pPr>
              <w:spacing w:line="280" w:lineRule="exact"/>
              <w:jc w:val="center"/>
              <w:rPr>
                <w:rFonts w:ascii="宋体" w:hAnsi="宋体"/>
                <w:b/>
                <w:szCs w:val="21"/>
              </w:rPr>
            </w:pPr>
            <w:r>
              <w:rPr>
                <w:rFonts w:hint="eastAsia" w:ascii="宋体" w:hAnsi="宋体"/>
                <w:b/>
                <w:szCs w:val="21"/>
              </w:rPr>
              <w:t>经常性项目（</w:t>
            </w:r>
            <w:r>
              <w:rPr>
                <w:rFonts w:hint="eastAsia" w:ascii="宋体" w:hAnsi="宋体"/>
                <w:b/>
                <w:sz w:val="24"/>
              </w:rPr>
              <w:t>√</w:t>
            </w:r>
            <w:r>
              <w:rPr>
                <w:rFonts w:hint="eastAsia" w:ascii="宋体" w:hAnsi="宋体"/>
                <w:b/>
                <w:szCs w:val="21"/>
              </w:rPr>
              <w:t>）       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计划投资额</w:t>
            </w:r>
          </w:p>
          <w:p>
            <w:pPr>
              <w:spacing w:line="280" w:lineRule="exact"/>
              <w:jc w:val="center"/>
              <w:rPr>
                <w:rFonts w:ascii="宋体" w:hAnsi="宋体"/>
                <w:b/>
                <w:szCs w:val="21"/>
              </w:rPr>
            </w:pPr>
            <w:r>
              <w:rPr>
                <w:rFonts w:hint="eastAsia" w:ascii="宋体" w:hAnsi="宋体"/>
                <w:b/>
                <w:szCs w:val="21"/>
              </w:rPr>
              <w:t>（万元）</w:t>
            </w:r>
          </w:p>
        </w:tc>
        <w:tc>
          <w:tcPr>
            <w:tcW w:w="1070" w:type="dxa"/>
            <w:gridSpan w:val="2"/>
            <w:vAlign w:val="center"/>
          </w:tcPr>
          <w:p>
            <w:pPr>
              <w:spacing w:line="280" w:lineRule="exact"/>
              <w:jc w:val="center"/>
              <w:rPr>
                <w:rFonts w:ascii="宋体" w:hAnsi="宋体"/>
                <w:b/>
                <w:szCs w:val="21"/>
              </w:rPr>
            </w:pPr>
            <w:r>
              <w:rPr>
                <w:rFonts w:hint="eastAsia" w:ascii="宋体" w:hAnsi="宋体"/>
                <w:b/>
                <w:szCs w:val="21"/>
              </w:rPr>
              <w:t>187.6</w:t>
            </w:r>
          </w:p>
        </w:tc>
        <w:tc>
          <w:tcPr>
            <w:tcW w:w="1559" w:type="dxa"/>
            <w:gridSpan w:val="5"/>
            <w:vAlign w:val="center"/>
          </w:tcPr>
          <w:p>
            <w:pPr>
              <w:spacing w:line="280" w:lineRule="exact"/>
              <w:jc w:val="center"/>
              <w:rPr>
                <w:rFonts w:ascii="宋体" w:hAnsi="宋体"/>
                <w:b/>
                <w:szCs w:val="21"/>
              </w:rPr>
            </w:pPr>
            <w:r>
              <w:rPr>
                <w:rFonts w:hint="eastAsia" w:ascii="宋体" w:hAnsi="宋体"/>
                <w:b/>
                <w:szCs w:val="21"/>
              </w:rPr>
              <w:t>实际到位资金（万元）</w:t>
            </w:r>
          </w:p>
        </w:tc>
        <w:tc>
          <w:tcPr>
            <w:tcW w:w="1418" w:type="dxa"/>
            <w:vAlign w:val="center"/>
          </w:tcPr>
          <w:p>
            <w:pPr>
              <w:spacing w:line="280" w:lineRule="exact"/>
              <w:jc w:val="center"/>
              <w:rPr>
                <w:rFonts w:ascii="宋体" w:hAnsi="宋体"/>
                <w:b/>
                <w:szCs w:val="21"/>
              </w:rPr>
            </w:pPr>
            <w:r>
              <w:rPr>
                <w:rFonts w:hint="eastAsia" w:ascii="宋体" w:hAnsi="宋体"/>
                <w:b/>
                <w:szCs w:val="21"/>
              </w:rPr>
              <w:t>316.15</w:t>
            </w:r>
          </w:p>
        </w:tc>
        <w:tc>
          <w:tcPr>
            <w:tcW w:w="1559" w:type="dxa"/>
            <w:gridSpan w:val="3"/>
            <w:vAlign w:val="center"/>
          </w:tcPr>
          <w:p>
            <w:pPr>
              <w:spacing w:line="280" w:lineRule="exact"/>
              <w:jc w:val="center"/>
              <w:rPr>
                <w:rFonts w:ascii="宋体" w:hAnsi="宋体"/>
                <w:b/>
                <w:szCs w:val="21"/>
              </w:rPr>
            </w:pPr>
            <w:r>
              <w:rPr>
                <w:rFonts w:hint="eastAsia" w:ascii="宋体" w:hAnsi="宋体"/>
                <w:b/>
                <w:szCs w:val="21"/>
              </w:rPr>
              <w:t>实际使用情况（万元）</w:t>
            </w:r>
          </w:p>
        </w:tc>
        <w:tc>
          <w:tcPr>
            <w:tcW w:w="1287" w:type="dxa"/>
            <w:gridSpan w:val="3"/>
            <w:vAlign w:val="center"/>
          </w:tcPr>
          <w:p>
            <w:pPr>
              <w:spacing w:line="280" w:lineRule="exact"/>
              <w:jc w:val="center"/>
              <w:rPr>
                <w:rFonts w:ascii="宋体" w:hAnsi="宋体"/>
                <w:b/>
                <w:szCs w:val="21"/>
              </w:rPr>
            </w:pPr>
            <w:r>
              <w:rPr>
                <w:rFonts w:hint="eastAsia" w:ascii="宋体" w:hAnsi="宋体"/>
                <w:b/>
                <w:szCs w:val="21"/>
              </w:rPr>
              <w:t>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其中：中央财政</w:t>
            </w:r>
          </w:p>
        </w:tc>
        <w:tc>
          <w:tcPr>
            <w:tcW w:w="1070" w:type="dxa"/>
            <w:gridSpan w:val="2"/>
            <w:vAlign w:val="center"/>
          </w:tcPr>
          <w:p>
            <w:pPr>
              <w:spacing w:line="280" w:lineRule="exact"/>
              <w:jc w:val="center"/>
              <w:rPr>
                <w:rFonts w:ascii="宋体" w:hAnsi="宋体"/>
                <w:b/>
                <w:szCs w:val="21"/>
              </w:rPr>
            </w:pPr>
          </w:p>
        </w:tc>
        <w:tc>
          <w:tcPr>
            <w:tcW w:w="1559" w:type="dxa"/>
            <w:gridSpan w:val="5"/>
            <w:vAlign w:val="center"/>
          </w:tcPr>
          <w:p>
            <w:pPr>
              <w:spacing w:line="280" w:lineRule="exact"/>
              <w:jc w:val="center"/>
              <w:rPr>
                <w:rFonts w:ascii="宋体" w:hAnsi="宋体"/>
                <w:b/>
                <w:szCs w:val="21"/>
              </w:rPr>
            </w:pPr>
            <w:r>
              <w:rPr>
                <w:rFonts w:hint="eastAsia" w:ascii="宋体" w:hAnsi="宋体"/>
                <w:b/>
                <w:szCs w:val="21"/>
              </w:rPr>
              <w:t>其中：中央财政</w:t>
            </w:r>
          </w:p>
        </w:tc>
        <w:tc>
          <w:tcPr>
            <w:tcW w:w="1418" w:type="dxa"/>
            <w:vAlign w:val="center"/>
          </w:tcPr>
          <w:p>
            <w:pPr>
              <w:spacing w:line="280" w:lineRule="exact"/>
              <w:jc w:val="center"/>
              <w:rPr>
                <w:rFonts w:ascii="宋体" w:hAnsi="宋体"/>
                <w:b/>
                <w:szCs w:val="21"/>
              </w:rPr>
            </w:pPr>
          </w:p>
        </w:tc>
        <w:tc>
          <w:tcPr>
            <w:tcW w:w="1559" w:type="dxa"/>
            <w:gridSpan w:val="3"/>
            <w:vAlign w:val="center"/>
          </w:tcPr>
          <w:p>
            <w:pPr>
              <w:spacing w:line="280" w:lineRule="exact"/>
              <w:jc w:val="center"/>
              <w:rPr>
                <w:rFonts w:ascii="宋体" w:hAnsi="宋体"/>
                <w:b/>
                <w:szCs w:val="21"/>
              </w:rPr>
            </w:pPr>
          </w:p>
        </w:tc>
        <w:tc>
          <w:tcPr>
            <w:tcW w:w="1287" w:type="dxa"/>
            <w:gridSpan w:val="3"/>
            <w:vAlign w:val="center"/>
          </w:tcPr>
          <w:p>
            <w:pPr>
              <w:spacing w:line="2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省财政</w:t>
            </w:r>
          </w:p>
        </w:tc>
        <w:tc>
          <w:tcPr>
            <w:tcW w:w="1070" w:type="dxa"/>
            <w:gridSpan w:val="2"/>
            <w:vAlign w:val="center"/>
          </w:tcPr>
          <w:p>
            <w:pPr>
              <w:spacing w:line="280" w:lineRule="exact"/>
              <w:jc w:val="center"/>
              <w:rPr>
                <w:rFonts w:ascii="宋体" w:hAnsi="宋体"/>
                <w:b/>
                <w:szCs w:val="21"/>
              </w:rPr>
            </w:pPr>
            <w:r>
              <w:rPr>
                <w:rFonts w:hint="eastAsia" w:ascii="宋体" w:hAnsi="宋体"/>
                <w:b/>
                <w:szCs w:val="21"/>
              </w:rPr>
              <w:t>316.15</w:t>
            </w:r>
          </w:p>
        </w:tc>
        <w:tc>
          <w:tcPr>
            <w:tcW w:w="1559" w:type="dxa"/>
            <w:gridSpan w:val="5"/>
            <w:vAlign w:val="center"/>
          </w:tcPr>
          <w:p>
            <w:pPr>
              <w:spacing w:line="280" w:lineRule="exact"/>
              <w:jc w:val="center"/>
              <w:rPr>
                <w:rFonts w:ascii="宋体" w:hAnsi="宋体"/>
                <w:b/>
                <w:szCs w:val="21"/>
              </w:rPr>
            </w:pPr>
            <w:r>
              <w:rPr>
                <w:rFonts w:hint="eastAsia" w:ascii="宋体" w:hAnsi="宋体"/>
                <w:b/>
                <w:szCs w:val="21"/>
              </w:rPr>
              <w:t>省财政</w:t>
            </w:r>
          </w:p>
        </w:tc>
        <w:tc>
          <w:tcPr>
            <w:tcW w:w="1418" w:type="dxa"/>
            <w:vAlign w:val="center"/>
          </w:tcPr>
          <w:p>
            <w:pPr>
              <w:spacing w:line="280" w:lineRule="exact"/>
              <w:jc w:val="center"/>
              <w:rPr>
                <w:rFonts w:ascii="宋体" w:hAnsi="宋体"/>
                <w:b/>
                <w:szCs w:val="21"/>
              </w:rPr>
            </w:pPr>
            <w:r>
              <w:rPr>
                <w:rFonts w:hint="eastAsia" w:ascii="宋体" w:hAnsi="宋体"/>
                <w:b/>
                <w:szCs w:val="21"/>
              </w:rPr>
              <w:t>316.15</w:t>
            </w:r>
          </w:p>
        </w:tc>
        <w:tc>
          <w:tcPr>
            <w:tcW w:w="1559" w:type="dxa"/>
            <w:gridSpan w:val="3"/>
            <w:vAlign w:val="center"/>
          </w:tcPr>
          <w:p>
            <w:pPr>
              <w:spacing w:line="280" w:lineRule="exact"/>
              <w:jc w:val="center"/>
              <w:rPr>
                <w:rFonts w:ascii="宋体" w:hAnsi="宋体"/>
                <w:b/>
                <w:szCs w:val="21"/>
              </w:rPr>
            </w:pPr>
          </w:p>
        </w:tc>
        <w:tc>
          <w:tcPr>
            <w:tcW w:w="1287" w:type="dxa"/>
            <w:gridSpan w:val="3"/>
            <w:vAlign w:val="center"/>
          </w:tcPr>
          <w:p>
            <w:pPr>
              <w:spacing w:line="2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市县财政</w:t>
            </w:r>
          </w:p>
        </w:tc>
        <w:tc>
          <w:tcPr>
            <w:tcW w:w="1070" w:type="dxa"/>
            <w:gridSpan w:val="2"/>
            <w:vAlign w:val="center"/>
          </w:tcPr>
          <w:p>
            <w:pPr>
              <w:spacing w:line="280" w:lineRule="exact"/>
              <w:jc w:val="center"/>
              <w:rPr>
                <w:rFonts w:ascii="宋体" w:hAnsi="宋体"/>
                <w:b/>
                <w:szCs w:val="21"/>
              </w:rPr>
            </w:pPr>
          </w:p>
        </w:tc>
        <w:tc>
          <w:tcPr>
            <w:tcW w:w="1559" w:type="dxa"/>
            <w:gridSpan w:val="5"/>
            <w:vAlign w:val="center"/>
          </w:tcPr>
          <w:p>
            <w:pPr>
              <w:spacing w:line="280" w:lineRule="exact"/>
              <w:jc w:val="center"/>
              <w:rPr>
                <w:rFonts w:ascii="宋体" w:hAnsi="宋体"/>
                <w:b/>
                <w:szCs w:val="21"/>
              </w:rPr>
            </w:pPr>
            <w:r>
              <w:rPr>
                <w:rFonts w:hint="eastAsia" w:ascii="宋体" w:hAnsi="宋体"/>
                <w:b/>
                <w:szCs w:val="21"/>
              </w:rPr>
              <w:t>市县财政</w:t>
            </w:r>
          </w:p>
        </w:tc>
        <w:tc>
          <w:tcPr>
            <w:tcW w:w="1418" w:type="dxa"/>
            <w:vAlign w:val="center"/>
          </w:tcPr>
          <w:p>
            <w:pPr>
              <w:spacing w:line="280" w:lineRule="exact"/>
              <w:jc w:val="center"/>
              <w:rPr>
                <w:rFonts w:ascii="宋体" w:hAnsi="宋体"/>
                <w:b/>
                <w:szCs w:val="21"/>
              </w:rPr>
            </w:pPr>
          </w:p>
        </w:tc>
        <w:tc>
          <w:tcPr>
            <w:tcW w:w="1559" w:type="dxa"/>
            <w:gridSpan w:val="3"/>
            <w:vAlign w:val="center"/>
          </w:tcPr>
          <w:p>
            <w:pPr>
              <w:spacing w:line="280" w:lineRule="exact"/>
              <w:jc w:val="center"/>
              <w:rPr>
                <w:rFonts w:ascii="宋体" w:hAnsi="宋体"/>
                <w:b/>
                <w:szCs w:val="21"/>
              </w:rPr>
            </w:pPr>
          </w:p>
        </w:tc>
        <w:tc>
          <w:tcPr>
            <w:tcW w:w="1287" w:type="dxa"/>
            <w:gridSpan w:val="3"/>
            <w:vAlign w:val="center"/>
          </w:tcPr>
          <w:p>
            <w:pPr>
              <w:spacing w:line="2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2"/>
            <w:vAlign w:val="center"/>
          </w:tcPr>
          <w:p>
            <w:pPr>
              <w:spacing w:line="280" w:lineRule="exact"/>
              <w:jc w:val="center"/>
              <w:rPr>
                <w:rFonts w:ascii="宋体" w:hAnsi="宋体"/>
                <w:b/>
                <w:szCs w:val="21"/>
              </w:rPr>
            </w:pPr>
            <w:r>
              <w:rPr>
                <w:rFonts w:hint="eastAsia" w:ascii="宋体" w:hAnsi="宋体"/>
                <w:b/>
                <w:szCs w:val="21"/>
              </w:rPr>
              <w:t>其他</w:t>
            </w:r>
          </w:p>
        </w:tc>
        <w:tc>
          <w:tcPr>
            <w:tcW w:w="1070" w:type="dxa"/>
            <w:gridSpan w:val="2"/>
            <w:vAlign w:val="center"/>
          </w:tcPr>
          <w:p>
            <w:pPr>
              <w:spacing w:line="280" w:lineRule="exact"/>
              <w:jc w:val="center"/>
              <w:rPr>
                <w:rFonts w:ascii="宋体" w:hAnsi="宋体"/>
                <w:b/>
                <w:szCs w:val="21"/>
              </w:rPr>
            </w:pPr>
          </w:p>
        </w:tc>
        <w:tc>
          <w:tcPr>
            <w:tcW w:w="1559" w:type="dxa"/>
            <w:gridSpan w:val="5"/>
            <w:vAlign w:val="center"/>
          </w:tcPr>
          <w:p>
            <w:pPr>
              <w:spacing w:line="280" w:lineRule="exact"/>
              <w:jc w:val="center"/>
              <w:rPr>
                <w:rFonts w:ascii="宋体" w:hAnsi="宋体"/>
                <w:b/>
                <w:szCs w:val="21"/>
              </w:rPr>
            </w:pPr>
            <w:r>
              <w:rPr>
                <w:rFonts w:hint="eastAsia" w:ascii="宋体" w:hAnsi="宋体"/>
                <w:b/>
                <w:szCs w:val="21"/>
              </w:rPr>
              <w:t>其他</w:t>
            </w:r>
          </w:p>
        </w:tc>
        <w:tc>
          <w:tcPr>
            <w:tcW w:w="1418" w:type="dxa"/>
            <w:vAlign w:val="center"/>
          </w:tcPr>
          <w:p>
            <w:pPr>
              <w:spacing w:line="280" w:lineRule="exact"/>
              <w:jc w:val="center"/>
              <w:rPr>
                <w:rFonts w:ascii="宋体" w:hAnsi="宋体"/>
                <w:b/>
                <w:szCs w:val="21"/>
              </w:rPr>
            </w:pPr>
          </w:p>
        </w:tc>
        <w:tc>
          <w:tcPr>
            <w:tcW w:w="1559" w:type="dxa"/>
            <w:gridSpan w:val="3"/>
            <w:vAlign w:val="center"/>
          </w:tcPr>
          <w:p>
            <w:pPr>
              <w:spacing w:line="280" w:lineRule="exact"/>
              <w:jc w:val="center"/>
              <w:rPr>
                <w:rFonts w:ascii="宋体" w:hAnsi="宋体"/>
                <w:b/>
                <w:szCs w:val="21"/>
              </w:rPr>
            </w:pPr>
          </w:p>
        </w:tc>
        <w:tc>
          <w:tcPr>
            <w:tcW w:w="1287" w:type="dxa"/>
            <w:gridSpan w:val="3"/>
            <w:vAlign w:val="center"/>
          </w:tcPr>
          <w:p>
            <w:pPr>
              <w:spacing w:line="2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16"/>
            <w:vAlign w:val="center"/>
          </w:tcPr>
          <w:p>
            <w:pPr>
              <w:spacing w:line="280" w:lineRule="exact"/>
              <w:rPr>
                <w:rFonts w:ascii="宋体" w:hAnsi="宋体"/>
                <w:b/>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472" w:hRule="atLeast"/>
          <w:jc w:val="center"/>
        </w:trPr>
        <w:tc>
          <w:tcPr>
            <w:tcW w:w="1379" w:type="dxa"/>
            <w:gridSpan w:val="2"/>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一级指标</w:t>
            </w:r>
          </w:p>
        </w:tc>
        <w:tc>
          <w:tcPr>
            <w:tcW w:w="928" w:type="dxa"/>
            <w:gridSpan w:val="2"/>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分值</w:t>
            </w:r>
          </w:p>
        </w:tc>
        <w:tc>
          <w:tcPr>
            <w:tcW w:w="132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二级指标</w:t>
            </w:r>
          </w:p>
        </w:tc>
        <w:tc>
          <w:tcPr>
            <w:tcW w:w="8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分值</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三级指标</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分值</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项目决策</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20</w:t>
            </w:r>
          </w:p>
        </w:tc>
        <w:tc>
          <w:tcPr>
            <w:tcW w:w="132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项目目标</w:t>
            </w:r>
          </w:p>
        </w:tc>
        <w:tc>
          <w:tcPr>
            <w:tcW w:w="8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目标内容</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决策过程</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决策依据</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决策程序</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5</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资金分配</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分配办法</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分配结果</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6</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项目管理</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25</w:t>
            </w: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资金到位</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5</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到位率</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到位时效</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资金管理</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10</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资金使用</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财务管理</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组织实施</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10</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组织机构</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管理制度</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9</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项目绩效</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55</w:t>
            </w: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项目产出</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15</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产出数量</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5</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产出质量</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产出时效</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产出成本</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项目效益</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40</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经济效益</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社会效益</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环境效益</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可持续影响</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3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b/>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服务对象满意度</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8</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color w:val="000000"/>
                <w:szCs w:val="21"/>
              </w:rPr>
            </w:pPr>
            <w:r>
              <w:rPr>
                <w:rFonts w:hint="eastAsia" w:ascii="宋体" w:hAnsi="宋体"/>
                <w:b/>
                <w:color w:val="000000"/>
                <w:szCs w:val="21"/>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总分</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100</w:t>
            </w:r>
          </w:p>
        </w:tc>
        <w:tc>
          <w:tcPr>
            <w:tcW w:w="132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p>
        </w:tc>
        <w:tc>
          <w:tcPr>
            <w:tcW w:w="8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100</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100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b/>
                <w:bCs/>
                <w:color w:val="000000"/>
                <w:szCs w:val="21"/>
              </w:rPr>
            </w:pPr>
            <w:r>
              <w:rPr>
                <w:rFonts w:hint="eastAsia" w:ascii="宋体" w:hAnsi="宋体"/>
                <w:b/>
                <w:bCs/>
                <w:color w:val="000000"/>
                <w:szCs w:val="21"/>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470" w:hRule="atLeast"/>
          <w:jc w:val="center"/>
        </w:trPr>
        <w:tc>
          <w:tcPr>
            <w:tcW w:w="4462" w:type="dxa"/>
            <w:gridSpan w:val="9"/>
            <w:vAlign w:val="center"/>
          </w:tcPr>
          <w:p>
            <w:pPr>
              <w:spacing w:line="280" w:lineRule="exact"/>
              <w:jc w:val="center"/>
              <w:rPr>
                <w:rFonts w:ascii="宋体" w:hAnsi="宋体"/>
                <w:b/>
                <w:szCs w:val="21"/>
              </w:rPr>
            </w:pPr>
            <w:r>
              <w:rPr>
                <w:rFonts w:hint="eastAsia" w:ascii="宋体" w:hAnsi="宋体"/>
                <w:b/>
                <w:szCs w:val="21"/>
              </w:rPr>
              <w:t>评价等次</w:t>
            </w:r>
          </w:p>
        </w:tc>
        <w:tc>
          <w:tcPr>
            <w:tcW w:w="4301" w:type="dxa"/>
            <w:gridSpan w:val="7"/>
            <w:vAlign w:val="center"/>
          </w:tcPr>
          <w:p>
            <w:pPr>
              <w:spacing w:line="280" w:lineRule="exact"/>
              <w:jc w:val="center"/>
              <w:rPr>
                <w:rFonts w:ascii="宋体" w:hAnsi="宋体"/>
                <w:b/>
                <w:szCs w:val="21"/>
              </w:rPr>
            </w:pPr>
            <w:r>
              <w:rPr>
                <w:rFonts w:hint="eastAsia" w:ascii="宋体" w:hAnsi="宋体"/>
                <w:b/>
                <w:szCs w:val="21"/>
              </w:rPr>
              <w:t>优</w:t>
            </w:r>
          </w:p>
        </w:tc>
      </w:tr>
    </w:tbl>
    <w:p>
      <w:pPr>
        <w:spacing w:line="530" w:lineRule="exact"/>
        <w:jc w:val="center"/>
        <w:rPr>
          <w:rFonts w:ascii="宋体" w:hAnsi="宋体"/>
          <w:b/>
          <w:sz w:val="44"/>
          <w:szCs w:val="44"/>
        </w:rPr>
      </w:pPr>
    </w:p>
    <w:p>
      <w:pPr>
        <w:ind w:firstLine="640" w:firstLineChars="200"/>
        <w:rPr>
          <w:rFonts w:ascii="仿宋_GB2312" w:eastAsia="仿宋_GB2312"/>
          <w:sz w:val="32"/>
          <w:szCs w:val="32"/>
        </w:rPr>
      </w:pPr>
      <w:r>
        <w:rPr>
          <w:rFonts w:hint="eastAsia" w:ascii="仿宋_GB2312" w:eastAsia="仿宋_GB2312"/>
          <w:sz w:val="32"/>
          <w:szCs w:val="32"/>
        </w:rPr>
        <w:t>十二、、其他重要事项情况说明</w:t>
      </w:r>
    </w:p>
    <w:p>
      <w:pPr>
        <w:ind w:firstLine="640" w:firstLineChars="200"/>
        <w:rPr>
          <w:rFonts w:ascii="仿宋_GB2312" w:eastAsia="仿宋_GB2312"/>
          <w:sz w:val="32"/>
          <w:szCs w:val="32"/>
        </w:rPr>
      </w:pPr>
      <w:r>
        <w:rPr>
          <w:rFonts w:hint="eastAsia" w:ascii="仿宋_GB2312" w:eastAsia="仿宋_GB2312"/>
          <w:sz w:val="32"/>
          <w:szCs w:val="32"/>
        </w:rPr>
        <w:t>（一）机关运行经费支出情况</w:t>
      </w:r>
    </w:p>
    <w:p>
      <w:pPr>
        <w:ind w:firstLine="640" w:firstLineChars="200"/>
        <w:rPr>
          <w:rFonts w:ascii="仿宋_GB2312" w:eastAsia="仿宋_GB2312"/>
          <w:sz w:val="32"/>
          <w:szCs w:val="32"/>
        </w:rPr>
      </w:pPr>
      <w:r>
        <w:rPr>
          <w:rFonts w:hint="eastAsia" w:ascii="仿宋_GB2312" w:eastAsia="仿宋_GB2312"/>
          <w:sz w:val="32"/>
          <w:szCs w:val="32"/>
        </w:rPr>
        <w:t>2018年度省供销社机关运行经费122.94万元，比2017年度减少19.77万元，下降13.85%。主要原因是：2017年度工资标准提高。（本表取自决算报表CS05表）</w:t>
      </w:r>
    </w:p>
    <w:p>
      <w:pPr>
        <w:ind w:firstLine="640" w:firstLineChars="200"/>
        <w:rPr>
          <w:rFonts w:ascii="仿宋_GB2312" w:eastAsia="仿宋_GB2312"/>
          <w:sz w:val="32"/>
          <w:szCs w:val="32"/>
        </w:rPr>
      </w:pPr>
      <w:r>
        <w:rPr>
          <w:rFonts w:hint="eastAsia" w:ascii="仿宋_GB2312" w:eastAsia="仿宋_GB2312"/>
          <w:sz w:val="32"/>
          <w:szCs w:val="32"/>
        </w:rPr>
        <w:t>（二）政府采购支出情况</w:t>
      </w:r>
    </w:p>
    <w:p>
      <w:pPr>
        <w:ind w:firstLine="640" w:firstLineChars="200"/>
        <w:rPr>
          <w:rFonts w:ascii="仿宋_GB2312" w:eastAsia="仿宋_GB2312"/>
          <w:sz w:val="32"/>
          <w:szCs w:val="32"/>
        </w:rPr>
      </w:pPr>
      <w:r>
        <w:rPr>
          <w:rFonts w:hint="eastAsia" w:ascii="仿宋_GB2312" w:eastAsia="仿宋_GB2312"/>
          <w:sz w:val="32"/>
          <w:szCs w:val="32"/>
        </w:rPr>
        <w:t>2018年度省供销社政府采购支出总额0.55万元，其中：政府采购货物支出0.55万元。（本表取自决算报表CS06表）</w:t>
      </w:r>
    </w:p>
    <w:p>
      <w:pPr>
        <w:ind w:firstLine="640" w:firstLineChars="200"/>
        <w:rPr>
          <w:rFonts w:ascii="仿宋_GB2312" w:eastAsia="仿宋_GB2312"/>
          <w:sz w:val="32"/>
          <w:szCs w:val="32"/>
        </w:rPr>
      </w:pPr>
      <w:r>
        <w:rPr>
          <w:rFonts w:hint="eastAsia" w:ascii="仿宋_GB2312" w:eastAsia="仿宋_GB2312"/>
          <w:sz w:val="32"/>
          <w:szCs w:val="32"/>
        </w:rPr>
        <w:t>（三）国有资产占用情况</w:t>
      </w:r>
    </w:p>
    <w:p>
      <w:pPr>
        <w:ind w:firstLine="640" w:firstLineChars="200"/>
        <w:rPr>
          <w:rFonts w:ascii="仿宋_GB2312" w:eastAsia="仿宋_GB2312"/>
          <w:sz w:val="32"/>
          <w:szCs w:val="32"/>
        </w:rPr>
      </w:pPr>
      <w:r>
        <w:rPr>
          <w:rFonts w:hint="eastAsia" w:ascii="仿宋_GB2312" w:eastAsia="仿宋_GB2312"/>
          <w:sz w:val="32"/>
          <w:szCs w:val="32"/>
        </w:rPr>
        <w:t>截至2018年度12月31日，本部门（含二级单位）共有车辆4辆，其中，一般公务用车4辆。</w:t>
      </w:r>
    </w:p>
    <w:p>
      <w:pPr>
        <w:ind w:firstLine="640" w:firstLineChars="200"/>
        <w:rPr>
          <w:rFonts w:ascii="仿宋_GB2312" w:eastAsia="仿宋_GB2312"/>
          <w:sz w:val="32"/>
          <w:szCs w:val="32"/>
        </w:rPr>
      </w:pPr>
      <w:r>
        <w:rPr>
          <w:rFonts w:hint="eastAsia" w:ascii="仿宋_GB2312" w:eastAsia="仿宋_GB2312"/>
          <w:sz w:val="32"/>
          <w:szCs w:val="32"/>
        </w:rPr>
        <w:t>（本表取自决算报表CS05表）</w:t>
      </w:r>
    </w:p>
    <w:p>
      <w:pPr>
        <w:ind w:firstLine="640" w:firstLineChars="200"/>
        <w:rPr>
          <w:rFonts w:ascii="仿宋_GB2312" w:eastAsia="仿宋_GB2312"/>
          <w:sz w:val="32"/>
          <w:szCs w:val="32"/>
        </w:rPr>
      </w:pPr>
    </w:p>
    <w:p>
      <w:pPr>
        <w:ind w:firstLine="640" w:firstLineChars="200"/>
        <w:rPr>
          <w:rFonts w:ascii="黑体" w:hAnsi="ˎ̥" w:eastAsia="黑体"/>
          <w:sz w:val="32"/>
          <w:szCs w:val="32"/>
        </w:rPr>
      </w:pPr>
      <w:bookmarkStart w:id="0" w:name="_Toc4398_WPSOffice_Level1"/>
      <w:bookmarkStart w:id="1" w:name="_Toc8808_WPSOffice_Level1"/>
      <w:bookmarkStart w:id="2" w:name="_Toc11039_WPSOffice_Level1"/>
      <w:bookmarkStart w:id="3" w:name="_Toc8874_WPSOffice_Level1"/>
      <w:bookmarkStart w:id="4" w:name="_Toc17580_WPSOffice_Level1"/>
      <w:bookmarkStart w:id="5" w:name="_Toc15425_WPSOffice_Level1"/>
      <w:r>
        <w:rPr>
          <w:rFonts w:hint="eastAsia" w:ascii="黑体" w:hAnsi="ˎ̥" w:eastAsia="黑体"/>
          <w:sz w:val="32"/>
          <w:szCs w:val="32"/>
        </w:rPr>
        <w:t>第四部分    名词解释</w:t>
      </w:r>
      <w:bookmarkEnd w:id="0"/>
      <w:bookmarkEnd w:id="1"/>
      <w:bookmarkEnd w:id="2"/>
      <w:bookmarkEnd w:id="3"/>
      <w:bookmarkEnd w:id="4"/>
      <w:bookmarkEnd w:id="5"/>
    </w:p>
    <w:p>
      <w:pPr>
        <w:ind w:firstLine="640" w:firstLineChars="200"/>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黑体" w:eastAsia="黑体"/>
          <w:sz w:val="36"/>
          <w:szCs w:val="36"/>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43507"/>
      <w:docPartObj>
        <w:docPartGallery w:val="AutoText"/>
      </w:docPartObj>
    </w:sdtPr>
    <w:sdtContent>
      <w:p>
        <w:pPr>
          <w:pStyle w:val="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hYzY3ZDExMjQyNDM2YjU4MmRkMTZhMWFhNzNhMjMifQ=="/>
  </w:docVars>
  <w:rsids>
    <w:rsidRoot w:val="00987197"/>
    <w:rsid w:val="00007247"/>
    <w:rsid w:val="000412AB"/>
    <w:rsid w:val="00047308"/>
    <w:rsid w:val="000516B9"/>
    <w:rsid w:val="00071F4B"/>
    <w:rsid w:val="0007400A"/>
    <w:rsid w:val="00076323"/>
    <w:rsid w:val="00077A81"/>
    <w:rsid w:val="00085CA3"/>
    <w:rsid w:val="000B622B"/>
    <w:rsid w:val="000D15E5"/>
    <w:rsid w:val="000D4D13"/>
    <w:rsid w:val="000D5756"/>
    <w:rsid w:val="000F0425"/>
    <w:rsid w:val="001028B7"/>
    <w:rsid w:val="00106FF6"/>
    <w:rsid w:val="00107CA5"/>
    <w:rsid w:val="0016643F"/>
    <w:rsid w:val="00184CDB"/>
    <w:rsid w:val="001875CB"/>
    <w:rsid w:val="001A5AAB"/>
    <w:rsid w:val="001D1124"/>
    <w:rsid w:val="001D4071"/>
    <w:rsid w:val="001D6920"/>
    <w:rsid w:val="001D7116"/>
    <w:rsid w:val="001D717A"/>
    <w:rsid w:val="001E1151"/>
    <w:rsid w:val="001F116D"/>
    <w:rsid w:val="00202BB1"/>
    <w:rsid w:val="002140DF"/>
    <w:rsid w:val="0022110D"/>
    <w:rsid w:val="00233603"/>
    <w:rsid w:val="00245B4B"/>
    <w:rsid w:val="00262447"/>
    <w:rsid w:val="002625AA"/>
    <w:rsid w:val="00265CEF"/>
    <w:rsid w:val="002766F9"/>
    <w:rsid w:val="002A6F83"/>
    <w:rsid w:val="002B0FC4"/>
    <w:rsid w:val="002C29F8"/>
    <w:rsid w:val="002D1505"/>
    <w:rsid w:val="002D3621"/>
    <w:rsid w:val="002E4A0C"/>
    <w:rsid w:val="002E5383"/>
    <w:rsid w:val="00311C07"/>
    <w:rsid w:val="0034161C"/>
    <w:rsid w:val="00345738"/>
    <w:rsid w:val="0035611B"/>
    <w:rsid w:val="00356FBE"/>
    <w:rsid w:val="003651CB"/>
    <w:rsid w:val="003653ED"/>
    <w:rsid w:val="00371A76"/>
    <w:rsid w:val="003819BB"/>
    <w:rsid w:val="00394805"/>
    <w:rsid w:val="003C324E"/>
    <w:rsid w:val="003E6C09"/>
    <w:rsid w:val="00413528"/>
    <w:rsid w:val="004277F6"/>
    <w:rsid w:val="004414F1"/>
    <w:rsid w:val="00442035"/>
    <w:rsid w:val="004440A1"/>
    <w:rsid w:val="00454AB0"/>
    <w:rsid w:val="00457509"/>
    <w:rsid w:val="004642DF"/>
    <w:rsid w:val="00472F32"/>
    <w:rsid w:val="00474404"/>
    <w:rsid w:val="0047577A"/>
    <w:rsid w:val="004A30A4"/>
    <w:rsid w:val="004A57A9"/>
    <w:rsid w:val="004C6305"/>
    <w:rsid w:val="004D3E49"/>
    <w:rsid w:val="004E6700"/>
    <w:rsid w:val="00503736"/>
    <w:rsid w:val="005074EB"/>
    <w:rsid w:val="005134AA"/>
    <w:rsid w:val="005206B8"/>
    <w:rsid w:val="005217C5"/>
    <w:rsid w:val="00541E3C"/>
    <w:rsid w:val="00546999"/>
    <w:rsid w:val="00546FE2"/>
    <w:rsid w:val="005564B0"/>
    <w:rsid w:val="00561005"/>
    <w:rsid w:val="00565CEF"/>
    <w:rsid w:val="005767EF"/>
    <w:rsid w:val="0058063C"/>
    <w:rsid w:val="00581E60"/>
    <w:rsid w:val="0059695B"/>
    <w:rsid w:val="005A1D7F"/>
    <w:rsid w:val="005A757C"/>
    <w:rsid w:val="005C4EE6"/>
    <w:rsid w:val="005D1F92"/>
    <w:rsid w:val="005E0BE8"/>
    <w:rsid w:val="005E1168"/>
    <w:rsid w:val="005F2D80"/>
    <w:rsid w:val="005F76BC"/>
    <w:rsid w:val="00617591"/>
    <w:rsid w:val="00640AAA"/>
    <w:rsid w:val="00672533"/>
    <w:rsid w:val="00674B53"/>
    <w:rsid w:val="00680F2D"/>
    <w:rsid w:val="006A77A8"/>
    <w:rsid w:val="006B2B24"/>
    <w:rsid w:val="006B57C6"/>
    <w:rsid w:val="006E06FD"/>
    <w:rsid w:val="006F2DDE"/>
    <w:rsid w:val="00723603"/>
    <w:rsid w:val="00730E98"/>
    <w:rsid w:val="00731F08"/>
    <w:rsid w:val="00741927"/>
    <w:rsid w:val="00776963"/>
    <w:rsid w:val="00791A34"/>
    <w:rsid w:val="00797CBC"/>
    <w:rsid w:val="007A3709"/>
    <w:rsid w:val="007C1479"/>
    <w:rsid w:val="007C608E"/>
    <w:rsid w:val="007D1681"/>
    <w:rsid w:val="007D568D"/>
    <w:rsid w:val="0080389B"/>
    <w:rsid w:val="00812EDF"/>
    <w:rsid w:val="00824772"/>
    <w:rsid w:val="00837448"/>
    <w:rsid w:val="00842B72"/>
    <w:rsid w:val="0084448E"/>
    <w:rsid w:val="00862A85"/>
    <w:rsid w:val="008733C7"/>
    <w:rsid w:val="00896D23"/>
    <w:rsid w:val="008B651A"/>
    <w:rsid w:val="008C622F"/>
    <w:rsid w:val="008E3F06"/>
    <w:rsid w:val="008F027E"/>
    <w:rsid w:val="008F386F"/>
    <w:rsid w:val="008F7026"/>
    <w:rsid w:val="00913902"/>
    <w:rsid w:val="00923251"/>
    <w:rsid w:val="00933FA9"/>
    <w:rsid w:val="00941E3C"/>
    <w:rsid w:val="009530A5"/>
    <w:rsid w:val="009855D5"/>
    <w:rsid w:val="00987197"/>
    <w:rsid w:val="009970FF"/>
    <w:rsid w:val="009B7EEC"/>
    <w:rsid w:val="009C22CB"/>
    <w:rsid w:val="009D5873"/>
    <w:rsid w:val="009E0856"/>
    <w:rsid w:val="009E1640"/>
    <w:rsid w:val="009E6CBA"/>
    <w:rsid w:val="009F2F14"/>
    <w:rsid w:val="00A0471F"/>
    <w:rsid w:val="00A05F5B"/>
    <w:rsid w:val="00A2129F"/>
    <w:rsid w:val="00A57F29"/>
    <w:rsid w:val="00A7217C"/>
    <w:rsid w:val="00A81DDC"/>
    <w:rsid w:val="00A82F5C"/>
    <w:rsid w:val="00AA469A"/>
    <w:rsid w:val="00AB41BA"/>
    <w:rsid w:val="00AE16A8"/>
    <w:rsid w:val="00B053DA"/>
    <w:rsid w:val="00B1191C"/>
    <w:rsid w:val="00B25DDB"/>
    <w:rsid w:val="00B3508E"/>
    <w:rsid w:val="00B4613A"/>
    <w:rsid w:val="00B46A5C"/>
    <w:rsid w:val="00B90158"/>
    <w:rsid w:val="00B949F6"/>
    <w:rsid w:val="00BA5635"/>
    <w:rsid w:val="00BC5945"/>
    <w:rsid w:val="00BD6B3C"/>
    <w:rsid w:val="00BF079F"/>
    <w:rsid w:val="00BF2C67"/>
    <w:rsid w:val="00BF43C1"/>
    <w:rsid w:val="00BF5AA6"/>
    <w:rsid w:val="00BF6953"/>
    <w:rsid w:val="00C128B5"/>
    <w:rsid w:val="00C53591"/>
    <w:rsid w:val="00C67B01"/>
    <w:rsid w:val="00C72C9A"/>
    <w:rsid w:val="00C85D8D"/>
    <w:rsid w:val="00C9526B"/>
    <w:rsid w:val="00CD29A5"/>
    <w:rsid w:val="00CE0EE2"/>
    <w:rsid w:val="00CE3AFF"/>
    <w:rsid w:val="00D04BAF"/>
    <w:rsid w:val="00D31A61"/>
    <w:rsid w:val="00D773A4"/>
    <w:rsid w:val="00DC3C8B"/>
    <w:rsid w:val="00DF0DA2"/>
    <w:rsid w:val="00E04098"/>
    <w:rsid w:val="00E04EDC"/>
    <w:rsid w:val="00E20384"/>
    <w:rsid w:val="00E23F81"/>
    <w:rsid w:val="00E34428"/>
    <w:rsid w:val="00E35F5B"/>
    <w:rsid w:val="00E41C8B"/>
    <w:rsid w:val="00E545B3"/>
    <w:rsid w:val="00E9513B"/>
    <w:rsid w:val="00EA48F3"/>
    <w:rsid w:val="00EB0E82"/>
    <w:rsid w:val="00EC04F8"/>
    <w:rsid w:val="00ED787C"/>
    <w:rsid w:val="00EF12F4"/>
    <w:rsid w:val="00EF7099"/>
    <w:rsid w:val="00F01186"/>
    <w:rsid w:val="00F04D15"/>
    <w:rsid w:val="00F41704"/>
    <w:rsid w:val="00F45215"/>
    <w:rsid w:val="00F5433E"/>
    <w:rsid w:val="00F60413"/>
    <w:rsid w:val="00F70869"/>
    <w:rsid w:val="00F735E3"/>
    <w:rsid w:val="00F849E2"/>
    <w:rsid w:val="00FB0C24"/>
    <w:rsid w:val="00FB610E"/>
    <w:rsid w:val="00FC4E5A"/>
    <w:rsid w:val="00FF363B"/>
    <w:rsid w:val="26E2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iPriority w:val="0"/>
    <w:pPr>
      <w:ind w:firstLine="420" w:firstLineChars="200"/>
    </w:pPr>
    <w:rPr>
      <w:rFonts w:ascii="Calibri" w:hAnsi="Calibri" w:eastAsia="宋体" w:cs="Times New Roman"/>
    </w:rPr>
  </w:style>
  <w:style w:type="paragraph" w:customStyle="1" w:styleId="7">
    <w:name w:val="正文1 Char Char Char"/>
    <w:basedOn w:val="1"/>
    <w:uiPriority w:val="0"/>
    <w:pPr>
      <w:spacing w:line="360" w:lineRule="auto"/>
      <w:ind w:firstLine="200" w:firstLineChars="200"/>
    </w:pPr>
    <w:rPr>
      <w:rFonts w:ascii="Times New Roman" w:hAnsi="Times New Roman" w:eastAsia="宋体" w:cs="Times New Roman"/>
      <w:szCs w:val="24"/>
    </w:rPr>
  </w:style>
  <w:style w:type="paragraph" w:styleId="8">
    <w:name w:val="List Paragraph"/>
    <w:basedOn w:val="1"/>
    <w:qFormat/>
    <w:uiPriority w:val="0"/>
    <w:pPr>
      <w:spacing w:line="360" w:lineRule="auto"/>
      <w:ind w:firstLine="420" w:firstLineChars="200"/>
    </w:pPr>
    <w:rPr>
      <w:rFonts w:ascii="Calibri" w:hAnsi="Calibri" w:eastAsia="宋体" w:cs="Times New Roman"/>
      <w:sz w:val="28"/>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D920-B0BA-432A-9B94-3580C7EEDF4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6805</Words>
  <Characters>7606</Characters>
  <Lines>57</Lines>
  <Paragraphs>16</Paragraphs>
  <TotalTime>234</TotalTime>
  <ScaleCrop>false</ScaleCrop>
  <LinksUpToDate>false</LinksUpToDate>
  <CharactersWithSpaces>7639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2019-08-28T01:53:00Z</dcterms:created>
  <dc:creator>User</dc:creator>
  <cp:lastModifiedBy>聪头</cp:lastModifiedBy>
  <cp:lastPrinted>2019-08-29T01:48:00Z</cp:lastPrinted>
  <dcterms:modified xsi:type="dcterms:W3CDTF">2023-04-17T13:14:04Z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E7EF8028DF3246AFBD2F8D319F3F05BB_12</vt:lpwstr>
  </property>
</Properties>
</file>